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CCDEF6" w14:textId="77777777" w:rsidR="00400F24" w:rsidRDefault="00AE603F">
      <w:pPr>
        <w:pStyle w:val="BodyText"/>
        <w:rPr>
          <w:rFonts w:ascii="Times New Roman"/>
        </w:rPr>
      </w:pPr>
      <w:r>
        <w:pict w14:anchorId="43CCDFCE">
          <v:group id="_x0000_s2053" style="position:absolute;margin-left:-.5pt;margin-top:35.8pt;width:595.6pt;height:567.95pt;z-index:-15885824;mso-position-horizontal-relative:page;mso-position-vertical-relative:page" coordorigin="-10,716" coordsize="11912,11359">
            <v:shape id="_x0000_s2060"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left:5242;top:5292;width:6660;height:6280">
              <v:imagedata r:id="rId10" o:title=""/>
            </v:shape>
            <v:shape id="_x0000_s2058" style="position:absolute;left:1204;top:11026;width:3651;height:396" coordorigin="1204,11026" coordsize="3651,396" path="m4855,11026r-3402,l1204,11422r3401,l4855,11026xe" fillcolor="#004674" stroked="f">
              <v:path arrowok="t"/>
            </v:shape>
            <v:shape id="_x0000_s2057"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2056" style="position:absolute;left:2109;top:1661;width:587;height:1546" coordorigin="2109,1661" coordsize="587,1546" path="m2696,1661r-587,945l2109,3207r587,-945l2696,1661xe" fillcolor="#6c6d70" stroked="f">
              <v:path arrowok="t"/>
            </v:shape>
            <v:shape id="_x0000_s2055" style="position:absolute;left:2720;top:716;width:587;height:1246" coordorigin="2720,716" coordsize="587,1246" path="m2720,716r,601l3120,1962r187,-301l2720,716xe" fillcolor="#8dc53e" stroked="f">
              <v:path arrowok="t"/>
            </v:shape>
            <v:shape id="_x0000_s2054" style="position:absolute;left:2720;top:1661;width:587;height:1546" coordorigin="2720,1661" coordsize="587,1546" path="m3307,1661r-587,945l2720,3207r587,-945l3307,1661xe" fillcolor="#6c6d70" stroked="f">
              <v:path arrowok="t"/>
            </v:shape>
            <w10:wrap anchorx="page" anchory="page"/>
          </v:group>
        </w:pict>
      </w:r>
    </w:p>
    <w:p w14:paraId="43CCDEF7" w14:textId="77777777" w:rsidR="00400F24" w:rsidRDefault="00400F24">
      <w:pPr>
        <w:pStyle w:val="BodyText"/>
        <w:rPr>
          <w:rFonts w:ascii="Times New Roman"/>
        </w:rPr>
      </w:pPr>
    </w:p>
    <w:p w14:paraId="43CCDEF8" w14:textId="77777777" w:rsidR="00400F24" w:rsidRDefault="00400F24">
      <w:pPr>
        <w:pStyle w:val="BodyText"/>
        <w:rPr>
          <w:rFonts w:ascii="Times New Roman"/>
        </w:rPr>
      </w:pPr>
    </w:p>
    <w:p w14:paraId="43CCDEF9" w14:textId="77777777" w:rsidR="00400F24" w:rsidRDefault="00400F24">
      <w:pPr>
        <w:pStyle w:val="BodyText"/>
        <w:rPr>
          <w:rFonts w:ascii="Times New Roman"/>
        </w:rPr>
      </w:pPr>
    </w:p>
    <w:p w14:paraId="43CCDEFA" w14:textId="77777777" w:rsidR="00400F24" w:rsidRDefault="00400F24">
      <w:pPr>
        <w:pStyle w:val="BodyText"/>
        <w:rPr>
          <w:rFonts w:ascii="Times New Roman"/>
        </w:rPr>
      </w:pPr>
    </w:p>
    <w:p w14:paraId="43CCDEFB" w14:textId="77777777" w:rsidR="00400F24" w:rsidRDefault="00400F24">
      <w:pPr>
        <w:pStyle w:val="BodyText"/>
        <w:rPr>
          <w:rFonts w:ascii="Times New Roman"/>
        </w:rPr>
      </w:pPr>
    </w:p>
    <w:p w14:paraId="43CCDEFC" w14:textId="77777777" w:rsidR="00400F24" w:rsidRDefault="00400F24">
      <w:pPr>
        <w:pStyle w:val="BodyText"/>
        <w:rPr>
          <w:rFonts w:ascii="Times New Roman"/>
        </w:rPr>
      </w:pPr>
    </w:p>
    <w:p w14:paraId="43CCDEFD" w14:textId="77777777" w:rsidR="00400F24" w:rsidRDefault="00400F24">
      <w:pPr>
        <w:pStyle w:val="BodyText"/>
        <w:rPr>
          <w:rFonts w:ascii="Times New Roman"/>
        </w:rPr>
      </w:pPr>
    </w:p>
    <w:p w14:paraId="43CCDEFE" w14:textId="77777777" w:rsidR="00400F24" w:rsidRDefault="00400F24">
      <w:pPr>
        <w:pStyle w:val="BodyText"/>
        <w:rPr>
          <w:rFonts w:ascii="Times New Roman"/>
        </w:rPr>
      </w:pPr>
    </w:p>
    <w:p w14:paraId="43CCDEFF" w14:textId="77777777" w:rsidR="00400F24" w:rsidRDefault="00400F24">
      <w:pPr>
        <w:pStyle w:val="BodyText"/>
        <w:rPr>
          <w:rFonts w:ascii="Times New Roman"/>
        </w:rPr>
      </w:pPr>
    </w:p>
    <w:p w14:paraId="43CCDF00" w14:textId="77777777" w:rsidR="00400F24" w:rsidRDefault="00400F24">
      <w:pPr>
        <w:pStyle w:val="BodyText"/>
        <w:rPr>
          <w:rFonts w:ascii="Times New Roman"/>
        </w:rPr>
      </w:pPr>
    </w:p>
    <w:p w14:paraId="43CCDF01" w14:textId="77777777" w:rsidR="00400F24" w:rsidRDefault="00AE603F" w:rsidP="0097668C">
      <w:pPr>
        <w:pStyle w:val="Title"/>
        <w:tabs>
          <w:tab w:val="left" w:pos="7168"/>
        </w:tabs>
        <w:spacing w:before="222" w:line="264" w:lineRule="auto"/>
        <w:ind w:left="450" w:hanging="1350"/>
      </w:pPr>
      <w:r>
        <w:rPr>
          <w:color w:val="57585B"/>
        </w:rPr>
        <w:t>Препоръка на Съвета относно оценката и процеса на взимане на решения</w:t>
      </w:r>
    </w:p>
    <w:p w14:paraId="43CCDF02" w14:textId="77777777" w:rsidR="00400F24" w:rsidRDefault="00AE603F" w:rsidP="0097668C">
      <w:pPr>
        <w:pStyle w:val="Title"/>
        <w:spacing w:line="264" w:lineRule="auto"/>
        <w:ind w:left="2160" w:right="3272" w:hanging="900"/>
      </w:pPr>
      <w:r>
        <w:rPr>
          <w:color w:val="57585B"/>
        </w:rPr>
        <w:t>за интегриран транспорт и екологична политика</w:t>
      </w:r>
    </w:p>
    <w:p w14:paraId="43CCDF03" w14:textId="77777777" w:rsidR="00400F24" w:rsidRDefault="00400F24">
      <w:pPr>
        <w:pStyle w:val="BodyText"/>
      </w:pPr>
    </w:p>
    <w:p w14:paraId="43CCDF04" w14:textId="77777777" w:rsidR="00400F24" w:rsidRDefault="00400F24">
      <w:pPr>
        <w:pStyle w:val="BodyText"/>
      </w:pPr>
    </w:p>
    <w:p w14:paraId="43CCDF05" w14:textId="77777777" w:rsidR="00400F24" w:rsidRDefault="00400F24">
      <w:pPr>
        <w:pStyle w:val="BodyText"/>
      </w:pPr>
    </w:p>
    <w:p w14:paraId="43CCDF06" w14:textId="77777777" w:rsidR="00400F24" w:rsidRDefault="00400F24">
      <w:pPr>
        <w:pStyle w:val="BodyText"/>
      </w:pPr>
    </w:p>
    <w:p w14:paraId="43CCDF07" w14:textId="77777777" w:rsidR="00400F24" w:rsidRDefault="00400F24">
      <w:pPr>
        <w:pStyle w:val="BodyText"/>
      </w:pPr>
    </w:p>
    <w:p w14:paraId="43CCDF08" w14:textId="77777777" w:rsidR="00400F24" w:rsidRDefault="00400F24">
      <w:pPr>
        <w:pStyle w:val="BodyText"/>
      </w:pPr>
    </w:p>
    <w:p w14:paraId="43CCDF09" w14:textId="77777777" w:rsidR="00400F24" w:rsidRDefault="00400F24">
      <w:pPr>
        <w:pStyle w:val="BodyText"/>
      </w:pPr>
    </w:p>
    <w:p w14:paraId="43CCDF0A" w14:textId="77777777" w:rsidR="00400F24" w:rsidRDefault="00400F24">
      <w:pPr>
        <w:pStyle w:val="BodyText"/>
      </w:pPr>
    </w:p>
    <w:p w14:paraId="43CCDF0B" w14:textId="77777777" w:rsidR="00400F24" w:rsidRDefault="00400F24">
      <w:pPr>
        <w:pStyle w:val="BodyText"/>
      </w:pPr>
    </w:p>
    <w:p w14:paraId="43CCDF0C" w14:textId="77777777" w:rsidR="00400F24" w:rsidRDefault="00400F24">
      <w:pPr>
        <w:pStyle w:val="BodyText"/>
      </w:pPr>
    </w:p>
    <w:p w14:paraId="43CCDF0D" w14:textId="77777777" w:rsidR="00400F24" w:rsidRDefault="00400F24">
      <w:pPr>
        <w:pStyle w:val="BodyText"/>
      </w:pPr>
    </w:p>
    <w:p w14:paraId="43CCDF0E" w14:textId="77777777" w:rsidR="00400F24" w:rsidRDefault="00400F24">
      <w:pPr>
        <w:pStyle w:val="BodyText"/>
      </w:pPr>
    </w:p>
    <w:p w14:paraId="43CCDF0F" w14:textId="77777777" w:rsidR="00400F24" w:rsidRDefault="00400F24">
      <w:pPr>
        <w:pStyle w:val="BodyText"/>
      </w:pPr>
    </w:p>
    <w:p w14:paraId="43CCDF10" w14:textId="77777777" w:rsidR="00400F24" w:rsidRDefault="00400F24">
      <w:pPr>
        <w:pStyle w:val="BodyText"/>
      </w:pPr>
    </w:p>
    <w:p w14:paraId="43CCDF11" w14:textId="77777777" w:rsidR="00400F24" w:rsidRDefault="00400F24">
      <w:pPr>
        <w:pStyle w:val="BodyText"/>
      </w:pPr>
    </w:p>
    <w:p w14:paraId="43CCDF12" w14:textId="77777777" w:rsidR="00400F24" w:rsidRDefault="00400F24">
      <w:pPr>
        <w:pStyle w:val="BodyText"/>
      </w:pPr>
    </w:p>
    <w:p w14:paraId="43CCDF13" w14:textId="77777777" w:rsidR="00400F24" w:rsidRDefault="00400F24">
      <w:pPr>
        <w:pStyle w:val="BodyText"/>
      </w:pPr>
    </w:p>
    <w:p w14:paraId="43CCDF14" w14:textId="77777777" w:rsidR="00400F24" w:rsidRDefault="00400F24">
      <w:pPr>
        <w:pStyle w:val="BodyText"/>
      </w:pPr>
    </w:p>
    <w:p w14:paraId="43CCDF15" w14:textId="77777777" w:rsidR="00400F24" w:rsidRDefault="00400F24">
      <w:pPr>
        <w:pStyle w:val="BodyText"/>
      </w:pPr>
    </w:p>
    <w:p w14:paraId="43CCDF16" w14:textId="77777777" w:rsidR="00400F24" w:rsidRDefault="00400F24">
      <w:pPr>
        <w:pStyle w:val="BodyText"/>
      </w:pPr>
    </w:p>
    <w:p w14:paraId="43CCDF17" w14:textId="77777777" w:rsidR="00400F24" w:rsidRDefault="00400F24">
      <w:pPr>
        <w:pStyle w:val="BodyText"/>
      </w:pPr>
    </w:p>
    <w:p w14:paraId="43CCDF18" w14:textId="77777777" w:rsidR="00400F24" w:rsidRDefault="00400F24">
      <w:pPr>
        <w:pStyle w:val="BodyText"/>
      </w:pPr>
    </w:p>
    <w:p w14:paraId="43CCDF19" w14:textId="77777777" w:rsidR="00400F24" w:rsidRDefault="00400F24">
      <w:pPr>
        <w:pStyle w:val="BodyText"/>
      </w:pPr>
    </w:p>
    <w:p w14:paraId="43CCDF1A" w14:textId="77777777" w:rsidR="00400F24" w:rsidRDefault="00400F24">
      <w:pPr>
        <w:pStyle w:val="BodyText"/>
      </w:pPr>
    </w:p>
    <w:p w14:paraId="43CCDF1B" w14:textId="77777777" w:rsidR="00400F24" w:rsidRDefault="00400F24">
      <w:pPr>
        <w:pStyle w:val="BodyText"/>
      </w:pPr>
    </w:p>
    <w:p w14:paraId="43CCDF1C" w14:textId="77777777" w:rsidR="00400F24" w:rsidRDefault="00AE603F" w:rsidP="0097668C">
      <w:pPr>
        <w:spacing w:before="277" w:line="204" w:lineRule="auto"/>
        <w:ind w:left="811" w:right="7088" w:hanging="108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43CCDF1D" w14:textId="77777777" w:rsidR="00400F24" w:rsidRDefault="00400F24">
      <w:pPr>
        <w:pStyle w:val="BodyText"/>
        <w:rPr>
          <w:rFonts w:ascii="Arial Black"/>
        </w:rPr>
      </w:pPr>
    </w:p>
    <w:p w14:paraId="43CCDF1E" w14:textId="77777777" w:rsidR="00400F24" w:rsidRDefault="00400F24">
      <w:pPr>
        <w:pStyle w:val="BodyText"/>
        <w:rPr>
          <w:rFonts w:ascii="Arial Black"/>
        </w:rPr>
      </w:pPr>
    </w:p>
    <w:p w14:paraId="43CCDF1F" w14:textId="77777777" w:rsidR="00400F24" w:rsidRDefault="00400F24">
      <w:pPr>
        <w:pStyle w:val="BodyText"/>
        <w:rPr>
          <w:rFonts w:ascii="Arial Black"/>
        </w:rPr>
      </w:pPr>
    </w:p>
    <w:p w14:paraId="43CCDF20" w14:textId="77777777" w:rsidR="00400F24" w:rsidRDefault="00400F24">
      <w:pPr>
        <w:pStyle w:val="BodyText"/>
        <w:rPr>
          <w:rFonts w:ascii="Arial Black"/>
        </w:rPr>
      </w:pPr>
    </w:p>
    <w:p w14:paraId="43CCDF21" w14:textId="77777777" w:rsidR="00400F24" w:rsidRDefault="00400F24">
      <w:pPr>
        <w:pStyle w:val="BodyText"/>
        <w:rPr>
          <w:rFonts w:ascii="Arial Black"/>
        </w:rPr>
      </w:pPr>
    </w:p>
    <w:p w14:paraId="43CCDF22" w14:textId="77777777" w:rsidR="00400F24" w:rsidRDefault="00400F24">
      <w:pPr>
        <w:pStyle w:val="BodyText"/>
        <w:rPr>
          <w:rFonts w:ascii="Arial Black"/>
        </w:rPr>
      </w:pPr>
    </w:p>
    <w:p w14:paraId="43CCDF23" w14:textId="77777777" w:rsidR="00400F24" w:rsidRDefault="00400F24">
      <w:pPr>
        <w:pStyle w:val="BodyText"/>
        <w:rPr>
          <w:rFonts w:ascii="Arial Black"/>
        </w:rPr>
      </w:pPr>
    </w:p>
    <w:p w14:paraId="43CCDF24" w14:textId="77777777" w:rsidR="00400F24" w:rsidRDefault="00400F24">
      <w:pPr>
        <w:pStyle w:val="BodyText"/>
        <w:rPr>
          <w:rFonts w:ascii="Arial Black"/>
        </w:rPr>
      </w:pPr>
    </w:p>
    <w:p w14:paraId="43CCDF25" w14:textId="77777777" w:rsidR="00400F24" w:rsidRDefault="00400F24">
      <w:pPr>
        <w:pStyle w:val="BodyText"/>
        <w:rPr>
          <w:rFonts w:ascii="Arial Black"/>
        </w:rPr>
      </w:pPr>
    </w:p>
    <w:p w14:paraId="43CCDF26" w14:textId="77777777" w:rsidR="00400F24" w:rsidRDefault="00400F24">
      <w:pPr>
        <w:pStyle w:val="BodyText"/>
        <w:rPr>
          <w:rFonts w:ascii="Arial Black"/>
        </w:rPr>
      </w:pPr>
    </w:p>
    <w:p w14:paraId="43CCDF27" w14:textId="77777777" w:rsidR="00400F24" w:rsidRDefault="00AE603F">
      <w:pPr>
        <w:pStyle w:val="BodyText"/>
        <w:spacing w:before="6"/>
        <w:rPr>
          <w:rFonts w:ascii="Arial Black"/>
          <w:sz w:val="19"/>
        </w:rPr>
      </w:pPr>
      <w:r>
        <w:rPr>
          <w:noProof/>
        </w:rPr>
        <w:drawing>
          <wp:anchor distT="0" distB="0" distL="0" distR="0" simplePos="0" relativeHeight="251659264" behindDoc="0" locked="0" layoutInCell="1" allowOverlap="1" wp14:anchorId="43CCDFCF" wp14:editId="43CCDFD0">
            <wp:simplePos x="0" y="0"/>
            <wp:positionH relativeFrom="page">
              <wp:posOffset>5058409</wp:posOffset>
            </wp:positionH>
            <wp:positionV relativeFrom="paragraph">
              <wp:posOffset>199055</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2165036" cy="666750"/>
                    </a:xfrm>
                    <a:prstGeom prst="rect">
                      <a:avLst/>
                    </a:prstGeom>
                  </pic:spPr>
                </pic:pic>
              </a:graphicData>
            </a:graphic>
          </wp:anchor>
        </w:drawing>
      </w:r>
    </w:p>
    <w:p w14:paraId="43CCDF28" w14:textId="77777777" w:rsidR="00400F24" w:rsidRDefault="00400F24">
      <w:pPr>
        <w:rPr>
          <w:rFonts w:ascii="Arial Black"/>
          <w:sz w:val="19"/>
        </w:rPr>
        <w:sectPr w:rsidR="00400F24">
          <w:type w:val="continuous"/>
          <w:pgSz w:w="11920" w:h="16850"/>
          <w:pgMar w:top="720" w:right="420" w:bottom="280" w:left="1680" w:header="720" w:footer="720" w:gutter="0"/>
          <w:cols w:space="720"/>
        </w:sectPr>
      </w:pPr>
    </w:p>
    <w:p w14:paraId="43CCDF29" w14:textId="77777777" w:rsidR="00400F24" w:rsidRDefault="00400F24">
      <w:pPr>
        <w:pStyle w:val="BodyText"/>
        <w:rPr>
          <w:rFonts w:ascii="Arial Black"/>
        </w:rPr>
      </w:pPr>
    </w:p>
    <w:p w14:paraId="43CCDF2A" w14:textId="77777777" w:rsidR="00400F24" w:rsidRDefault="00400F24">
      <w:pPr>
        <w:pStyle w:val="BodyText"/>
        <w:rPr>
          <w:rFonts w:ascii="Arial Black"/>
        </w:rPr>
      </w:pPr>
    </w:p>
    <w:p w14:paraId="43CCDF2B" w14:textId="77777777" w:rsidR="00400F24" w:rsidRDefault="00400F24">
      <w:pPr>
        <w:pStyle w:val="BodyText"/>
        <w:rPr>
          <w:rFonts w:ascii="Arial Black"/>
        </w:rPr>
      </w:pPr>
    </w:p>
    <w:p w14:paraId="43CCDF2C" w14:textId="77777777" w:rsidR="00400F24" w:rsidRDefault="00400F24">
      <w:pPr>
        <w:pStyle w:val="BodyText"/>
        <w:rPr>
          <w:rFonts w:ascii="Arial Black"/>
        </w:rPr>
      </w:pPr>
    </w:p>
    <w:p w14:paraId="43CCDF2D" w14:textId="77777777" w:rsidR="00400F24" w:rsidRDefault="00400F24">
      <w:pPr>
        <w:pStyle w:val="BodyText"/>
        <w:rPr>
          <w:rFonts w:ascii="Arial Black"/>
        </w:rPr>
      </w:pPr>
    </w:p>
    <w:p w14:paraId="43CCDF2E" w14:textId="77777777" w:rsidR="00400F24" w:rsidRDefault="00400F24">
      <w:pPr>
        <w:pStyle w:val="BodyText"/>
        <w:spacing w:before="1"/>
        <w:rPr>
          <w:rFonts w:ascii="Arial Black"/>
          <w:sz w:val="22"/>
        </w:rPr>
      </w:pPr>
    </w:p>
    <w:p w14:paraId="43CCDF2F" w14:textId="77777777" w:rsidR="00400F24" w:rsidRDefault="00AE603F">
      <w:pPr>
        <w:spacing w:before="94" w:line="242" w:lineRule="auto"/>
        <w:ind w:left="237" w:right="23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w:t>
      </w:r>
      <w:r>
        <w:rPr>
          <w:sz w:val="18"/>
        </w:rPr>
        <w:t>циалните възгледи на страните-членки на ОИСР.</w:t>
      </w:r>
    </w:p>
    <w:p w14:paraId="43CCDF30" w14:textId="77777777" w:rsidR="00400F24" w:rsidRDefault="00400F24">
      <w:pPr>
        <w:pStyle w:val="BodyText"/>
        <w:spacing w:before="10"/>
        <w:rPr>
          <w:sz w:val="15"/>
        </w:rPr>
      </w:pPr>
    </w:p>
    <w:p w14:paraId="43CCDF31" w14:textId="77777777" w:rsidR="00400F24" w:rsidRDefault="00AE603F">
      <w:pPr>
        <w:spacing w:line="242" w:lineRule="auto"/>
        <w:ind w:left="237" w:right="23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w:t>
      </w:r>
      <w:r>
        <w:rPr>
          <w:sz w:val="18"/>
        </w:rPr>
        <w:t>тория, град или област.</w:t>
      </w:r>
    </w:p>
    <w:p w14:paraId="43CCDF32" w14:textId="77777777" w:rsidR="00400F24" w:rsidRDefault="00400F24">
      <w:pPr>
        <w:pStyle w:val="BodyText"/>
      </w:pPr>
    </w:p>
    <w:p w14:paraId="43CCDF33" w14:textId="77777777" w:rsidR="00400F24" w:rsidRDefault="00400F24">
      <w:pPr>
        <w:pStyle w:val="BodyText"/>
      </w:pPr>
    </w:p>
    <w:p w14:paraId="43CCDF34" w14:textId="77777777" w:rsidR="00400F24" w:rsidRDefault="00400F24">
      <w:pPr>
        <w:pStyle w:val="BodyText"/>
      </w:pPr>
    </w:p>
    <w:p w14:paraId="43CCDF35" w14:textId="77777777" w:rsidR="00400F24" w:rsidRDefault="00400F24">
      <w:pPr>
        <w:pStyle w:val="BodyText"/>
      </w:pPr>
    </w:p>
    <w:p w14:paraId="43CCDF36" w14:textId="77777777" w:rsidR="00400F24" w:rsidRDefault="00400F24">
      <w:pPr>
        <w:pStyle w:val="BodyText"/>
      </w:pPr>
    </w:p>
    <w:p w14:paraId="43CCDF37" w14:textId="77777777" w:rsidR="00400F24" w:rsidRDefault="00400F24">
      <w:pPr>
        <w:pStyle w:val="BodyText"/>
      </w:pPr>
    </w:p>
    <w:p w14:paraId="43CCDF38" w14:textId="77777777" w:rsidR="00400F24" w:rsidRDefault="00400F24">
      <w:pPr>
        <w:pStyle w:val="BodyText"/>
      </w:pPr>
    </w:p>
    <w:p w14:paraId="43CCDF39" w14:textId="77777777" w:rsidR="00400F24" w:rsidRDefault="00400F24">
      <w:pPr>
        <w:pStyle w:val="BodyText"/>
      </w:pPr>
    </w:p>
    <w:p w14:paraId="43CCDF3A" w14:textId="77777777" w:rsidR="00400F24" w:rsidRDefault="00400F24">
      <w:pPr>
        <w:pStyle w:val="BodyText"/>
      </w:pPr>
    </w:p>
    <w:p w14:paraId="43CCDF3B" w14:textId="77777777" w:rsidR="00400F24" w:rsidRDefault="00400F24">
      <w:pPr>
        <w:pStyle w:val="BodyText"/>
      </w:pPr>
    </w:p>
    <w:p w14:paraId="43CCDF3C" w14:textId="77777777" w:rsidR="00400F24" w:rsidRDefault="00400F24">
      <w:pPr>
        <w:pStyle w:val="BodyText"/>
      </w:pPr>
    </w:p>
    <w:p w14:paraId="43CCDF3D" w14:textId="77777777" w:rsidR="00400F24" w:rsidRDefault="00400F24">
      <w:pPr>
        <w:pStyle w:val="BodyText"/>
      </w:pPr>
    </w:p>
    <w:p w14:paraId="43CCDF3E" w14:textId="77777777" w:rsidR="00400F24" w:rsidRDefault="00400F24">
      <w:pPr>
        <w:pStyle w:val="BodyText"/>
      </w:pPr>
    </w:p>
    <w:p w14:paraId="43CCDF3F" w14:textId="77777777" w:rsidR="00400F24" w:rsidRDefault="00400F24">
      <w:pPr>
        <w:pStyle w:val="BodyText"/>
      </w:pPr>
    </w:p>
    <w:p w14:paraId="43CCDF40" w14:textId="77777777" w:rsidR="00400F24" w:rsidRDefault="00400F24">
      <w:pPr>
        <w:pStyle w:val="BodyText"/>
      </w:pPr>
    </w:p>
    <w:p w14:paraId="43CCDF41" w14:textId="77777777" w:rsidR="00400F24" w:rsidRDefault="00400F24">
      <w:pPr>
        <w:pStyle w:val="BodyText"/>
      </w:pPr>
    </w:p>
    <w:p w14:paraId="43CCDF42" w14:textId="77777777" w:rsidR="00400F24" w:rsidRDefault="00400F24">
      <w:pPr>
        <w:pStyle w:val="BodyText"/>
      </w:pPr>
    </w:p>
    <w:p w14:paraId="43CCDF43" w14:textId="77777777" w:rsidR="00400F24" w:rsidRDefault="00400F24">
      <w:pPr>
        <w:pStyle w:val="BodyText"/>
      </w:pPr>
    </w:p>
    <w:p w14:paraId="43CCDF44" w14:textId="77777777" w:rsidR="00400F24" w:rsidRDefault="00400F24">
      <w:pPr>
        <w:pStyle w:val="BodyText"/>
      </w:pPr>
    </w:p>
    <w:p w14:paraId="43CCDF45" w14:textId="77777777" w:rsidR="00400F24" w:rsidRDefault="00400F24">
      <w:pPr>
        <w:pStyle w:val="BodyText"/>
      </w:pPr>
    </w:p>
    <w:p w14:paraId="43CCDF46" w14:textId="77777777" w:rsidR="00400F24" w:rsidRDefault="00400F24">
      <w:pPr>
        <w:pStyle w:val="BodyText"/>
      </w:pPr>
    </w:p>
    <w:p w14:paraId="43CCDF47" w14:textId="77777777" w:rsidR="00400F24" w:rsidRDefault="00400F24">
      <w:pPr>
        <w:pStyle w:val="BodyText"/>
      </w:pPr>
    </w:p>
    <w:p w14:paraId="43CCDF48" w14:textId="77777777" w:rsidR="00400F24" w:rsidRDefault="00400F24">
      <w:pPr>
        <w:pStyle w:val="BodyText"/>
      </w:pPr>
    </w:p>
    <w:p w14:paraId="43CCDF49" w14:textId="77777777" w:rsidR="00400F24" w:rsidRDefault="00400F24">
      <w:pPr>
        <w:pStyle w:val="BodyText"/>
      </w:pPr>
    </w:p>
    <w:p w14:paraId="43CCDF4A" w14:textId="77777777" w:rsidR="00400F24" w:rsidRDefault="00400F24">
      <w:pPr>
        <w:pStyle w:val="BodyText"/>
      </w:pPr>
    </w:p>
    <w:p w14:paraId="43CCDF4B" w14:textId="77777777" w:rsidR="00400F24" w:rsidRDefault="00400F24">
      <w:pPr>
        <w:pStyle w:val="BodyText"/>
      </w:pPr>
    </w:p>
    <w:p w14:paraId="43CCDF4C" w14:textId="77777777" w:rsidR="00400F24" w:rsidRDefault="00400F24">
      <w:pPr>
        <w:pStyle w:val="BodyText"/>
      </w:pPr>
    </w:p>
    <w:p w14:paraId="43CCDF4D" w14:textId="77777777" w:rsidR="00400F24" w:rsidRDefault="00400F24">
      <w:pPr>
        <w:pStyle w:val="BodyText"/>
        <w:spacing w:before="1"/>
        <w:rPr>
          <w:sz w:val="22"/>
        </w:rPr>
      </w:pPr>
    </w:p>
    <w:p w14:paraId="43CCDF4E" w14:textId="77777777" w:rsidR="00400F24" w:rsidRDefault="00AE603F">
      <w:pPr>
        <w:spacing w:line="242" w:lineRule="auto"/>
        <w:ind w:left="237"/>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2">
        <w:r>
          <w:rPr>
            <w:color w:val="0000ED"/>
            <w:sz w:val="18"/>
            <w:u w:val="single" w:color="0000ED"/>
          </w:rPr>
          <w:t>http://legalinstru</w:t>
        </w:r>
        <w:r>
          <w:rPr>
            <w:color w:val="0000ED"/>
            <w:sz w:val="18"/>
            <w:u w:val="single" w:color="0000ED"/>
          </w:rPr>
          <w:t>ments.oecd.org</w:t>
        </w:r>
      </w:hyperlink>
      <w:r>
        <w:t xml:space="preserve"> </w:t>
      </w:r>
      <w:r>
        <w:rPr>
          <w:sz w:val="18"/>
        </w:rPr>
        <w:t>.</w:t>
      </w:r>
    </w:p>
    <w:p w14:paraId="43CCDF4F" w14:textId="77777777" w:rsidR="00400F24" w:rsidRDefault="00AE603F">
      <w:pPr>
        <w:pStyle w:val="BodyText"/>
        <w:rPr>
          <w:sz w:val="14"/>
        </w:rPr>
      </w:pPr>
      <w:r>
        <w:pict w14:anchorId="43CCDFD2">
          <v:shapetype id="_x0000_t202" coordsize="21600,21600" o:spt="202" path="m,l,21600r21600,l21600,xe">
            <v:stroke joinstyle="miter"/>
            <v:path gradientshapeok="t" o:connecttype="rect"/>
          </v:shapetype>
          <v:shape id="_x0000_s2052" type="#_x0000_t202" style="position:absolute;margin-left:76.85pt;margin-top:9.3pt;width:441.5pt;height:36.8pt;z-index:-15727616;mso-wrap-distance-left:0;mso-wrap-distance-right:0;mso-position-horizontal-relative:page" fillcolor="#dcd8c2" stroked="f">
            <v:textbox inset="0,0,0,0">
              <w:txbxContent>
                <w:p w14:paraId="43CCDFDC" w14:textId="77777777" w:rsidR="00400F24" w:rsidRDefault="00AE603F">
                  <w:pPr>
                    <w:spacing w:before="1"/>
                    <w:rPr>
                      <w:b/>
                      <w:sz w:val="18"/>
                    </w:rPr>
                  </w:pPr>
                  <w:r>
                    <w:rPr>
                      <w:b/>
                      <w:sz w:val="18"/>
                    </w:rPr>
                    <w:t>Моля, цитирайте този документ като:</w:t>
                  </w:r>
                </w:p>
                <w:p w14:paraId="43CCDFDD" w14:textId="77777777" w:rsidR="00400F24" w:rsidRDefault="00AE603F">
                  <w:pPr>
                    <w:spacing w:before="8" w:line="242" w:lineRule="auto"/>
                    <w:rPr>
                      <w:sz w:val="18"/>
                    </w:rPr>
                  </w:pPr>
                  <w:r>
                    <w:rPr>
                      <w:sz w:val="18"/>
                    </w:rPr>
                    <w:t xml:space="preserve">ОИСР, </w:t>
                  </w:r>
                  <w:r>
                    <w:rPr>
                      <w:i/>
                      <w:iCs/>
                      <w:sz w:val="18"/>
                    </w:rPr>
                    <w:t>Препоръка на Съвета относно оценката и процеса на взимане на решения за интегриран транспорт и екологична политика</w:t>
                  </w:r>
                  <w:r>
                    <w:rPr>
                      <w:sz w:val="18"/>
                    </w:rPr>
                    <w:t>, OECD/LEGAL/0325</w:t>
                  </w:r>
                </w:p>
              </w:txbxContent>
            </v:textbox>
            <w10:wrap type="topAndBottom" anchorx="page"/>
          </v:shape>
        </w:pict>
      </w:r>
    </w:p>
    <w:p w14:paraId="43CCDF50" w14:textId="77777777" w:rsidR="00400F24" w:rsidRDefault="00400F24">
      <w:pPr>
        <w:pStyle w:val="BodyText"/>
        <w:rPr>
          <w:sz w:val="15"/>
        </w:rPr>
      </w:pPr>
    </w:p>
    <w:p w14:paraId="43CCDF51" w14:textId="77777777" w:rsidR="00400F24" w:rsidRDefault="00AE603F">
      <w:pPr>
        <w:spacing w:before="96"/>
        <w:ind w:left="237"/>
        <w:jc w:val="both"/>
        <w:rPr>
          <w:sz w:val="14"/>
        </w:rPr>
      </w:pPr>
      <w:r>
        <w:rPr>
          <w:sz w:val="14"/>
        </w:rPr>
        <w:t>Серия: Правни инструменти на ОИСР</w:t>
      </w:r>
    </w:p>
    <w:p w14:paraId="43CCDF52" w14:textId="77777777" w:rsidR="00400F24" w:rsidRDefault="00400F24">
      <w:pPr>
        <w:pStyle w:val="BodyText"/>
        <w:rPr>
          <w:sz w:val="16"/>
        </w:rPr>
      </w:pPr>
    </w:p>
    <w:p w14:paraId="43CCDF53" w14:textId="77777777" w:rsidR="00400F24" w:rsidRDefault="00400F24">
      <w:pPr>
        <w:pStyle w:val="BodyText"/>
        <w:rPr>
          <w:sz w:val="16"/>
        </w:rPr>
      </w:pPr>
    </w:p>
    <w:p w14:paraId="43CCDF54" w14:textId="77777777" w:rsidR="00400F24" w:rsidRDefault="00400F24">
      <w:pPr>
        <w:pStyle w:val="BodyText"/>
        <w:spacing w:before="3"/>
        <w:rPr>
          <w:sz w:val="17"/>
        </w:rPr>
      </w:pPr>
    </w:p>
    <w:p w14:paraId="43CCDF55" w14:textId="77777777" w:rsidR="00400F24" w:rsidRDefault="00AE603F">
      <w:pPr>
        <w:ind w:left="237"/>
        <w:jc w:val="both"/>
        <w:rPr>
          <w:sz w:val="18"/>
        </w:rPr>
      </w:pPr>
      <w:r>
        <w:rPr>
          <w:sz w:val="18"/>
        </w:rPr>
        <w:t>© ОИСР 2021</w:t>
      </w:r>
    </w:p>
    <w:p w14:paraId="43CCDF56" w14:textId="77777777" w:rsidR="00400F24" w:rsidRDefault="00AE603F">
      <w:pPr>
        <w:pStyle w:val="BodyText"/>
        <w:rPr>
          <w:sz w:val="22"/>
        </w:rPr>
      </w:pPr>
      <w:r>
        <w:pict w14:anchorId="43CCDFD3">
          <v:rect id="_x0000_s2051" style="position:absolute;margin-left:76.85pt;margin-top:14.6pt;width:441.5pt;height:.5pt;z-index:-15727104;mso-wrap-distance-left:0;mso-wrap-distance-right:0;mso-position-horizontal-relative:page" fillcolor="black" stroked="f">
            <w10:wrap type="topAndBottom" anchorx="page"/>
          </v:rect>
        </w:pict>
      </w:r>
    </w:p>
    <w:p w14:paraId="43CCDF57" w14:textId="77777777" w:rsidR="00400F24" w:rsidRDefault="00AE603F">
      <w:pPr>
        <w:spacing w:before="83" w:line="242" w:lineRule="auto"/>
        <w:ind w:left="237" w:right="24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43CCDF58" w14:textId="77777777" w:rsidR="00400F24" w:rsidRDefault="00400F24">
      <w:pPr>
        <w:pStyle w:val="BodyText"/>
        <w:spacing w:before="6"/>
        <w:rPr>
          <w:sz w:val="10"/>
        </w:rPr>
      </w:pPr>
    </w:p>
    <w:p w14:paraId="43CCDF59" w14:textId="77777777" w:rsidR="00400F24" w:rsidRDefault="00AE603F">
      <w:pPr>
        <w:spacing w:line="252" w:lineRule="auto"/>
        <w:ind w:left="237" w:right="237"/>
        <w:jc w:val="both"/>
        <w:rPr>
          <w:i/>
          <w:sz w:val="12"/>
        </w:rPr>
      </w:pPr>
      <w:r>
        <w:pict w14:anchorId="43CCDFD4">
          <v:rect id="_x0000_s2050" style="position:absolute;left:0;text-align:left;margin-left:76.85pt;margin-top:35.15pt;width:441.5pt;height:.5pt;z-index:-15726592;mso-wrap-distance-left:0;mso-wrap-distance-right:0;mso-position-horizontal-relative:page" fillcolor="black" stroked="f">
            <w10:wrap type="topAndBottom" anchorx="page"/>
          </v:rect>
        </w:pict>
      </w:r>
      <w:r>
        <w:rPr>
          <w:sz w:val="12"/>
        </w:rPr>
        <w:t>Този документ е достъпен на двата официални езика на О</w:t>
      </w:r>
      <w:r>
        <w:rPr>
          <w:sz w:val="12"/>
        </w:rPr>
        <w:t xml:space="preserve">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Pr>
          <w:i/>
          <w:sz w:val="12"/>
        </w:rPr>
        <w:t>„Този превод е изготвен от [ИМЕ НА АВТОРА НА ПРЕВОДА] само с информационна це</w:t>
      </w:r>
      <w:r>
        <w:rPr>
          <w:i/>
          <w:sz w:val="12"/>
        </w:rPr>
        <w:t>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t xml:space="preserve"> </w:t>
      </w:r>
      <w:hyperlink r:id="rId13">
        <w:r>
          <w:rPr>
            <w:i/>
            <w:color w:val="0000ED"/>
            <w:sz w:val="12"/>
            <w:u w:val="single" w:color="0000ED"/>
          </w:rPr>
          <w:t>http://legalinstruments.oecd.org</w:t>
        </w:r>
      </w:hyperlink>
      <w:r>
        <w:t xml:space="preserve"> </w:t>
      </w:r>
      <w:r>
        <w:rPr>
          <w:i/>
          <w:sz w:val="12"/>
        </w:rPr>
        <w:t>"</w:t>
      </w:r>
    </w:p>
    <w:p w14:paraId="43CCDF5A" w14:textId="77777777" w:rsidR="00400F24" w:rsidRDefault="00400F24">
      <w:pPr>
        <w:spacing w:line="252" w:lineRule="auto"/>
        <w:jc w:val="both"/>
        <w:rPr>
          <w:sz w:val="12"/>
        </w:rPr>
        <w:sectPr w:rsidR="00400F24">
          <w:pgSz w:w="11910" w:h="16840"/>
          <w:pgMar w:top="1580" w:right="1299" w:bottom="280" w:left="1300" w:header="720" w:footer="720" w:gutter="0"/>
          <w:cols w:space="720"/>
        </w:sectPr>
      </w:pPr>
    </w:p>
    <w:p w14:paraId="43CCDF5B" w14:textId="77777777" w:rsidR="00400F24" w:rsidRDefault="00AE603F">
      <w:pPr>
        <w:pStyle w:val="Heading1"/>
        <w:spacing w:before="92"/>
        <w:ind w:left="237"/>
      </w:pPr>
      <w:r>
        <w:rPr>
          <w:color w:val="1E487C"/>
        </w:rPr>
        <w:lastRenderedPageBreak/>
        <w:t>Обща информация</w:t>
      </w:r>
    </w:p>
    <w:p w14:paraId="43CCDF5C" w14:textId="77777777" w:rsidR="00400F24" w:rsidRDefault="00400F24">
      <w:pPr>
        <w:pStyle w:val="BodyText"/>
        <w:rPr>
          <w:b/>
          <w:sz w:val="26"/>
        </w:rPr>
      </w:pPr>
    </w:p>
    <w:p w14:paraId="43CCDF5D" w14:textId="77777777" w:rsidR="00400F24" w:rsidRDefault="00400F24">
      <w:pPr>
        <w:pStyle w:val="BodyText"/>
        <w:spacing w:before="3"/>
        <w:rPr>
          <w:b/>
          <w:sz w:val="23"/>
        </w:rPr>
      </w:pPr>
    </w:p>
    <w:p w14:paraId="43CCDF5E" w14:textId="77777777" w:rsidR="00400F24" w:rsidRDefault="00AE603F">
      <w:pPr>
        <w:pStyle w:val="BodyText"/>
        <w:ind w:left="237" w:right="234"/>
        <w:jc w:val="both"/>
      </w:pPr>
      <w:r>
        <w:t>Препоръка на Съвета относно оценката и процеса на взимане на решения за интегриран транспорт и екологична политика беше приета от Съвета на ОИСР на 21 април 2004 г. по предложение на Комитета по екологична политика. Препоръката препоръчва</w:t>
      </w:r>
      <w:r>
        <w:t xml:space="preserve"> системна оценка на икономическите, социалните и екологичните ефекти на всички транспортни планове, програми и големи инвестиции, както и интегриране на транспортни и екологични политики. Препоръката е адаптация на наскоро приетата Резолюция 2003/1 (и свър</w:t>
      </w:r>
      <w:r>
        <w:t xml:space="preserve">заните с нея насоки) на Европейската конференция на министрите на транспорта (ECMT). Тя разширява обхвата до страни, които не са членове на ECMT, и има за цел да улесни съвместните действия на общностите при прилагането и мониторинга на политиката относно </w:t>
      </w:r>
      <w:r>
        <w:t>транспорта и околната среда.</w:t>
      </w:r>
    </w:p>
    <w:p w14:paraId="43CCDF5F" w14:textId="77777777" w:rsidR="00400F24" w:rsidRDefault="00400F24">
      <w:pPr>
        <w:jc w:val="both"/>
        <w:sectPr w:rsidR="00400F24">
          <w:headerReference w:type="even" r:id="rId14"/>
          <w:headerReference w:type="default" r:id="rId15"/>
          <w:pgSz w:w="11910" w:h="16840"/>
          <w:pgMar w:top="1320" w:right="1299" w:bottom="280" w:left="1300" w:header="849" w:footer="0" w:gutter="0"/>
          <w:pgNumType w:start="3"/>
          <w:cols w:space="720"/>
        </w:sectPr>
      </w:pPr>
    </w:p>
    <w:p w14:paraId="43CCDF60" w14:textId="77777777" w:rsidR="00400F24" w:rsidRDefault="00AE603F">
      <w:pPr>
        <w:pStyle w:val="Heading2"/>
        <w:spacing w:before="82"/>
        <w:ind w:left="116" w:firstLine="0"/>
      </w:pPr>
      <w:r>
        <w:lastRenderedPageBreak/>
        <w:t>СЪВЕТЪТ,</w:t>
      </w:r>
    </w:p>
    <w:p w14:paraId="43CCDF61" w14:textId="77777777" w:rsidR="00400F24" w:rsidRDefault="00400F24">
      <w:pPr>
        <w:pStyle w:val="BodyText"/>
        <w:rPr>
          <w:b/>
          <w:sz w:val="21"/>
        </w:rPr>
      </w:pPr>
    </w:p>
    <w:p w14:paraId="43CCDF62" w14:textId="77777777" w:rsidR="00400F24" w:rsidRPr="00C77046" w:rsidRDefault="00AE603F">
      <w:pPr>
        <w:pStyle w:val="BodyText"/>
        <w:spacing w:line="242" w:lineRule="auto"/>
        <w:ind w:left="116" w:right="117"/>
        <w:jc w:val="both"/>
        <w:rPr>
          <w:sz w:val="18"/>
          <w:szCs w:val="18"/>
        </w:rPr>
      </w:pPr>
      <w:r w:rsidRPr="00C77046">
        <w:rPr>
          <w:b/>
          <w:sz w:val="18"/>
          <w:szCs w:val="18"/>
        </w:rPr>
        <w:t>КАТО ВЗЕ ПРЕДВИД</w:t>
      </w:r>
      <w:r w:rsidRPr="00C77046">
        <w:rPr>
          <w:sz w:val="18"/>
          <w:szCs w:val="18"/>
        </w:rPr>
        <w:t xml:space="preserve"> подкрепата за действия за отделяне на натиска върху околната среда от икономическия растеж в транспортния сектор, както е изразено в Стратегията за околната среда на ОИСР за първото десетилетие на 21-ви век, която беше приета от министрите на околната сре</w:t>
      </w:r>
      <w:r w:rsidRPr="00C77046">
        <w:rPr>
          <w:sz w:val="18"/>
          <w:szCs w:val="18"/>
        </w:rPr>
        <w:t>да на ОИСР и одобрена от Съвета на ОИСР на министерско ниво през май 2001 г.;</w:t>
      </w:r>
    </w:p>
    <w:p w14:paraId="43CCDF63" w14:textId="77777777" w:rsidR="00400F24" w:rsidRPr="00C77046" w:rsidRDefault="00400F24">
      <w:pPr>
        <w:pStyle w:val="BodyText"/>
        <w:rPr>
          <w:sz w:val="18"/>
          <w:szCs w:val="18"/>
        </w:rPr>
      </w:pPr>
    </w:p>
    <w:p w14:paraId="43CCDF64" w14:textId="77777777" w:rsidR="00400F24" w:rsidRPr="00C77046" w:rsidRDefault="00AE603F">
      <w:pPr>
        <w:pStyle w:val="BodyText"/>
        <w:spacing w:line="242" w:lineRule="auto"/>
        <w:ind w:left="116" w:right="124"/>
        <w:jc w:val="both"/>
        <w:rPr>
          <w:sz w:val="18"/>
          <w:szCs w:val="18"/>
        </w:rPr>
      </w:pPr>
      <w:r w:rsidRPr="00C77046">
        <w:rPr>
          <w:b/>
          <w:sz w:val="18"/>
          <w:szCs w:val="18"/>
        </w:rPr>
        <w:t>КАТО ВЗЕ ПРЕДВИД</w:t>
      </w:r>
      <w:r w:rsidRPr="00C77046">
        <w:rPr>
          <w:sz w:val="18"/>
          <w:szCs w:val="18"/>
        </w:rPr>
        <w:t xml:space="preserve"> Насоките за екологично устойчив транспорт (EST), практически инструмент за насочване на разработването и прилагането на национални стратегии за екологично устой</w:t>
      </w:r>
      <w:r w:rsidRPr="00C77046">
        <w:rPr>
          <w:sz w:val="18"/>
          <w:szCs w:val="18"/>
        </w:rPr>
        <w:t>чив транспорт, които бяха одобрени от министрите на околната среда на ОИСР на 16 май 2001 г.;</w:t>
      </w:r>
    </w:p>
    <w:p w14:paraId="43CCDF65" w14:textId="77777777" w:rsidR="00400F24" w:rsidRPr="00C77046" w:rsidRDefault="00400F24">
      <w:pPr>
        <w:pStyle w:val="BodyText"/>
        <w:spacing w:before="4"/>
        <w:rPr>
          <w:sz w:val="18"/>
          <w:szCs w:val="18"/>
        </w:rPr>
      </w:pPr>
    </w:p>
    <w:p w14:paraId="43CCDF66" w14:textId="77777777" w:rsidR="00400F24" w:rsidRPr="00C77046" w:rsidRDefault="00AE603F">
      <w:pPr>
        <w:pStyle w:val="BodyText"/>
        <w:ind w:left="116" w:right="115"/>
        <w:jc w:val="both"/>
        <w:rPr>
          <w:sz w:val="18"/>
          <w:szCs w:val="18"/>
        </w:rPr>
      </w:pPr>
      <w:r w:rsidRPr="00C77046">
        <w:rPr>
          <w:b/>
          <w:sz w:val="18"/>
          <w:szCs w:val="18"/>
        </w:rPr>
        <w:t>КАТО ВЗЕ ПРЕДВИД</w:t>
      </w:r>
      <w:r w:rsidRPr="00C77046">
        <w:rPr>
          <w:sz w:val="18"/>
          <w:szCs w:val="18"/>
        </w:rPr>
        <w:t xml:space="preserve"> напредъка, постигнат в проследяването на EST, както е отразено в резултатите от международната конференция за EST в азиатския регион (Нагоя, 25 март 2003 г.), конференцията за EST и железопътния транспорт (</w:t>
      </w:r>
      <w:proofErr w:type="spellStart"/>
      <w:r w:rsidRPr="00C77046">
        <w:rPr>
          <w:sz w:val="18"/>
          <w:szCs w:val="18"/>
        </w:rPr>
        <w:t>Ескилстуна</w:t>
      </w:r>
      <w:proofErr w:type="spellEnd"/>
      <w:r w:rsidRPr="00C77046">
        <w:rPr>
          <w:sz w:val="18"/>
          <w:szCs w:val="18"/>
        </w:rPr>
        <w:t>, 26 октомври 2001 г.) и Семинара на ОИ</w:t>
      </w:r>
      <w:r w:rsidRPr="00C77046">
        <w:rPr>
          <w:sz w:val="18"/>
          <w:szCs w:val="18"/>
        </w:rPr>
        <w:t>СР относно ролята на меките мерки за постигане на EST (Берлин, 6 декември 2002 г.);</w:t>
      </w:r>
    </w:p>
    <w:p w14:paraId="43CCDF67" w14:textId="77777777" w:rsidR="00400F24" w:rsidRPr="00C77046" w:rsidRDefault="00400F24">
      <w:pPr>
        <w:pStyle w:val="BodyText"/>
        <w:spacing w:before="9"/>
        <w:rPr>
          <w:sz w:val="18"/>
          <w:szCs w:val="18"/>
        </w:rPr>
      </w:pPr>
    </w:p>
    <w:p w14:paraId="43CCDF68" w14:textId="77777777" w:rsidR="00400F24" w:rsidRPr="00C77046" w:rsidRDefault="00AE603F">
      <w:pPr>
        <w:pStyle w:val="BodyText"/>
        <w:spacing w:before="1"/>
        <w:ind w:left="116" w:right="114"/>
        <w:jc w:val="both"/>
        <w:rPr>
          <w:sz w:val="18"/>
          <w:szCs w:val="18"/>
        </w:rPr>
      </w:pPr>
      <w:r w:rsidRPr="00C77046">
        <w:rPr>
          <w:b/>
          <w:sz w:val="18"/>
          <w:szCs w:val="18"/>
        </w:rPr>
        <w:t>КАТО ВЗЕ ПРЕДВИД</w:t>
      </w:r>
      <w:r w:rsidRPr="00C77046">
        <w:rPr>
          <w:sz w:val="18"/>
          <w:szCs w:val="18"/>
        </w:rPr>
        <w:t xml:space="preserve"> съществуващите актове на Съвета, които препоръчват, </w:t>
      </w:r>
      <w:proofErr w:type="spellStart"/>
      <w:r w:rsidRPr="00C77046">
        <w:rPr>
          <w:i/>
          <w:sz w:val="18"/>
          <w:szCs w:val="18"/>
        </w:rPr>
        <w:t>inter</w:t>
      </w:r>
      <w:proofErr w:type="spellEnd"/>
      <w:r w:rsidRPr="00C77046">
        <w:rPr>
          <w:i/>
          <w:sz w:val="18"/>
          <w:szCs w:val="18"/>
        </w:rPr>
        <w:t xml:space="preserve"> </w:t>
      </w:r>
      <w:proofErr w:type="spellStart"/>
      <w:r w:rsidRPr="00C77046">
        <w:rPr>
          <w:i/>
          <w:sz w:val="18"/>
          <w:szCs w:val="18"/>
        </w:rPr>
        <w:t>alia</w:t>
      </w:r>
      <w:proofErr w:type="spellEnd"/>
      <w:r w:rsidRPr="00C77046">
        <w:rPr>
          <w:i/>
          <w:sz w:val="18"/>
          <w:szCs w:val="18"/>
        </w:rPr>
        <w:t>,</w:t>
      </w:r>
      <w:r w:rsidRPr="00C77046">
        <w:rPr>
          <w:sz w:val="18"/>
          <w:szCs w:val="18"/>
        </w:rPr>
        <w:t xml:space="preserve"> специфични действия за смекчаване на различни въздействия на транспорта върху околната сре</w:t>
      </w:r>
      <w:r w:rsidRPr="00C77046">
        <w:rPr>
          <w:sz w:val="18"/>
          <w:szCs w:val="18"/>
        </w:rPr>
        <w:t xml:space="preserve">да, а именно: Препоръката на Съвета за оценка на проекти със значително въздействие върху околната среда [C(79)116] от 8 май 1979 г.; Препоръката на Съвета относно политиките за намаляване на шума [C(78)73/FINAL] от 3 юли 1978 г.; Препоръката на Съвета за </w:t>
      </w:r>
      <w:r w:rsidRPr="00C77046">
        <w:rPr>
          <w:sz w:val="18"/>
          <w:szCs w:val="18"/>
        </w:rPr>
        <w:t>укрепване на политиките за намаляване на шума [C(85)103] от 20 юни 1985 г.; Препоръката на Съвета за ограничаване на трафика и евтино подобряване на градската среда [C(74)218] от 14 ноември 1974 г.; Препоръката на Съвета относно намаляването на въздействие</w:t>
      </w:r>
      <w:r w:rsidRPr="00C77046">
        <w:rPr>
          <w:sz w:val="18"/>
          <w:szCs w:val="18"/>
        </w:rPr>
        <w:t xml:space="preserve">то върху околната среда от производството и използването на енергия [C(76)162/FINAL] от 12 октомври 1976 г.; Препоръката на Съвета за контрол на замърсяването на въздуха от изгаряне на изкопаеми горива [C(85)101] от 20 юни 1985 г.; и Препоръката на Съвета </w:t>
      </w:r>
      <w:r w:rsidRPr="00C77046">
        <w:rPr>
          <w:sz w:val="18"/>
          <w:szCs w:val="18"/>
        </w:rPr>
        <w:t>за интегрирано предотвратяване на замърсяването и контрол [C(90)164/FINAL] от 31 януари 1991 г.;</w:t>
      </w:r>
    </w:p>
    <w:p w14:paraId="43CCDF69" w14:textId="77777777" w:rsidR="00400F24" w:rsidRPr="00C77046" w:rsidRDefault="00400F24">
      <w:pPr>
        <w:pStyle w:val="BodyText"/>
        <w:spacing w:before="10"/>
        <w:rPr>
          <w:sz w:val="18"/>
          <w:szCs w:val="18"/>
        </w:rPr>
      </w:pPr>
    </w:p>
    <w:p w14:paraId="43CCDF6A" w14:textId="77777777" w:rsidR="00400F24" w:rsidRPr="00C77046" w:rsidRDefault="00AE603F">
      <w:pPr>
        <w:pStyle w:val="BodyText"/>
        <w:ind w:left="116" w:right="113"/>
        <w:jc w:val="both"/>
        <w:rPr>
          <w:sz w:val="18"/>
          <w:szCs w:val="18"/>
        </w:rPr>
      </w:pPr>
      <w:r w:rsidRPr="00C77046">
        <w:rPr>
          <w:b/>
          <w:sz w:val="18"/>
          <w:szCs w:val="18"/>
        </w:rPr>
        <w:t>КАТО</w:t>
      </w:r>
      <w:r w:rsidRPr="00C77046">
        <w:rPr>
          <w:sz w:val="18"/>
          <w:szCs w:val="18"/>
        </w:rPr>
        <w:t xml:space="preserve"> </w:t>
      </w:r>
      <w:r w:rsidRPr="00C77046">
        <w:rPr>
          <w:b/>
          <w:bCs/>
          <w:sz w:val="18"/>
          <w:szCs w:val="18"/>
        </w:rPr>
        <w:t>ВЗЕ ПРЕДВИД</w:t>
      </w:r>
      <w:r w:rsidRPr="00C77046">
        <w:rPr>
          <w:sz w:val="18"/>
          <w:szCs w:val="18"/>
        </w:rPr>
        <w:t xml:space="preserve"> Резолюция 2003/1 на ECMT относно оценката и процеса на взимане на решения за интегриран транспорт и екологична политика, на която се основава</w:t>
      </w:r>
      <w:r w:rsidRPr="00C77046">
        <w:rPr>
          <w:sz w:val="18"/>
          <w:szCs w:val="18"/>
        </w:rPr>
        <w:t xml:space="preserve"> настоящата препоръка на Съвета; съвместното изявление на министрите на транспорта на ECMT относно устойчивите транспортни политики, прието на Съвета в Прага през 2000 г., и по-специално акцента, който то поставя върху важността на интегриран процес по взе</w:t>
      </w:r>
      <w:r w:rsidRPr="00C77046">
        <w:rPr>
          <w:sz w:val="18"/>
          <w:szCs w:val="18"/>
        </w:rPr>
        <w:t xml:space="preserve">мане на решения; Резолюция 2002/1 на ECMT относно развитието на европейските железници и особено нейната препоръка, че добрите </w:t>
      </w:r>
      <w:proofErr w:type="spellStart"/>
      <w:r w:rsidRPr="00C77046">
        <w:rPr>
          <w:sz w:val="18"/>
          <w:szCs w:val="18"/>
        </w:rPr>
        <w:t>многофакторни</w:t>
      </w:r>
      <w:proofErr w:type="spellEnd"/>
      <w:r w:rsidRPr="00C77046">
        <w:rPr>
          <w:sz w:val="18"/>
          <w:szCs w:val="18"/>
        </w:rPr>
        <w:t xml:space="preserve"> анализи и анализите на съотношението разходи-ползи трябва да се използват като основа за вземане на решения за инве</w:t>
      </w:r>
      <w:r w:rsidRPr="00C77046">
        <w:rPr>
          <w:sz w:val="18"/>
          <w:szCs w:val="18"/>
        </w:rPr>
        <w:t>стиции в инфраструктура;</w:t>
      </w:r>
    </w:p>
    <w:p w14:paraId="43CCDF6B" w14:textId="77777777" w:rsidR="00400F24" w:rsidRPr="00C77046" w:rsidRDefault="00400F24">
      <w:pPr>
        <w:pStyle w:val="BodyText"/>
        <w:spacing w:before="11"/>
        <w:rPr>
          <w:sz w:val="18"/>
          <w:szCs w:val="18"/>
        </w:rPr>
      </w:pPr>
    </w:p>
    <w:p w14:paraId="43CCDF6C" w14:textId="77777777" w:rsidR="00400F24" w:rsidRPr="00C77046" w:rsidRDefault="00AE603F">
      <w:pPr>
        <w:pStyle w:val="BodyText"/>
        <w:ind w:left="116" w:right="111"/>
        <w:jc w:val="both"/>
        <w:rPr>
          <w:sz w:val="18"/>
          <w:szCs w:val="18"/>
        </w:rPr>
      </w:pPr>
      <w:r w:rsidRPr="00C77046">
        <w:rPr>
          <w:b/>
          <w:sz w:val="18"/>
          <w:szCs w:val="18"/>
        </w:rPr>
        <w:t>КАТО ВЗЕ ПРЕДВИД</w:t>
      </w:r>
      <w:r w:rsidRPr="00C77046">
        <w:rPr>
          <w:sz w:val="18"/>
          <w:szCs w:val="18"/>
        </w:rPr>
        <w:t xml:space="preserve"> резултатите от доклада на ОИСР относно въздействието на транспортната инфраструктура върху регионалното развитие [DSTI/DOT/RTR/IM2(2001)1]; заключенията и препоръките на доклада на ECMT относно оценката и процеса </w:t>
      </w:r>
      <w:r w:rsidRPr="00C77046">
        <w:rPr>
          <w:sz w:val="18"/>
          <w:szCs w:val="18"/>
        </w:rPr>
        <w:t>на взимане на решения за интегриран транспорт и екологична политика [CEMT/CM(2003)9]; ключовите послания за правителството от докладите на ECMT относно прилагането на политики за устойчиво градско пътуване [CEMT/CM(2001)12 и 13]; заключенията от доклада на</w:t>
      </w:r>
      <w:r w:rsidRPr="00C77046">
        <w:rPr>
          <w:sz w:val="18"/>
          <w:szCs w:val="18"/>
        </w:rPr>
        <w:t xml:space="preserve"> ECMT за оценка на ползите от транспорта [CEMT/CM(2000)7/FINAL]; заключенията и препоръките на доклада на ECMT относно стратегическата екологична оценка за транспорта [CEMT/CM(2000)8/FINAL];</w:t>
      </w:r>
    </w:p>
    <w:p w14:paraId="43CCDF6D" w14:textId="77777777" w:rsidR="00400F24" w:rsidRPr="00C77046" w:rsidRDefault="00400F24">
      <w:pPr>
        <w:pStyle w:val="BodyText"/>
        <w:spacing w:before="10"/>
        <w:rPr>
          <w:sz w:val="18"/>
          <w:szCs w:val="18"/>
        </w:rPr>
      </w:pPr>
    </w:p>
    <w:p w14:paraId="43CCDF6E" w14:textId="77777777" w:rsidR="00400F24" w:rsidRPr="00C77046" w:rsidRDefault="00AE603F">
      <w:pPr>
        <w:pStyle w:val="BodyText"/>
        <w:ind w:left="116" w:right="114"/>
        <w:jc w:val="both"/>
        <w:rPr>
          <w:sz w:val="18"/>
          <w:szCs w:val="18"/>
        </w:rPr>
      </w:pPr>
      <w:r w:rsidRPr="00C77046">
        <w:rPr>
          <w:b/>
          <w:sz w:val="18"/>
          <w:szCs w:val="18"/>
        </w:rPr>
        <w:t>КАТО ВЗЕ ПРЕДВИД</w:t>
      </w:r>
      <w:r w:rsidRPr="00C77046">
        <w:rPr>
          <w:sz w:val="18"/>
          <w:szCs w:val="18"/>
        </w:rPr>
        <w:t xml:space="preserve"> Директива 2001/42/ЕО на Европейския парламент и</w:t>
      </w:r>
      <w:r w:rsidRPr="00C77046">
        <w:rPr>
          <w:sz w:val="18"/>
          <w:szCs w:val="18"/>
        </w:rPr>
        <w:t xml:space="preserve"> на Съвета от 27 юни 2001 г. относно оценката на въздействието на определени планове и програми върху околната среда; Доклада до Европейския съвет относно интегрирането на екологичните проблеми и устойчивото развитие в политиките на Общността [SEC (99)1941</w:t>
      </w:r>
      <w:r w:rsidRPr="00C77046">
        <w:rPr>
          <w:sz w:val="18"/>
          <w:szCs w:val="18"/>
        </w:rPr>
        <w:t>]; Протокола за стратегическа оценка на околната среда към Конвенцията на ИКЕ на ООН за оценка на въздействието върху околната среда в трансграничен контекст (Киев, 2003 г.); Конвенцията на ИКЕ на ООН за достъп до информация, обществено участие и достъп до</w:t>
      </w:r>
      <w:r w:rsidRPr="00C77046">
        <w:rPr>
          <w:sz w:val="18"/>
          <w:szCs w:val="18"/>
        </w:rPr>
        <w:t xml:space="preserve"> правосъдие по въпроси, свързани с околната среда (</w:t>
      </w:r>
      <w:proofErr w:type="spellStart"/>
      <w:r w:rsidRPr="00C77046">
        <w:rPr>
          <w:sz w:val="18"/>
          <w:szCs w:val="18"/>
        </w:rPr>
        <w:t>Орхуска</w:t>
      </w:r>
      <w:proofErr w:type="spellEnd"/>
      <w:r w:rsidRPr="00C77046">
        <w:rPr>
          <w:sz w:val="18"/>
          <w:szCs w:val="18"/>
        </w:rPr>
        <w:t xml:space="preserve"> конвенция, 25 юни 1998 г.); Виенската декларация на ИКЕ на ООН от 1997 г. относно транспорта и околната среда; Лондонската харта на ООН/СЗО за транспорт, околна среда и здраве от 1999 г. и последва</w:t>
      </w:r>
      <w:r w:rsidRPr="00C77046">
        <w:rPr>
          <w:sz w:val="18"/>
          <w:szCs w:val="18"/>
        </w:rPr>
        <w:t>лата Паневропейска програма на СЗО и ИКЕ за транспорт, здраве и околна среда;</w:t>
      </w:r>
    </w:p>
    <w:p w14:paraId="43CCDF6F" w14:textId="77777777" w:rsidR="00400F24" w:rsidRPr="00C77046" w:rsidRDefault="00400F24">
      <w:pPr>
        <w:pStyle w:val="BodyText"/>
        <w:spacing w:before="10"/>
        <w:rPr>
          <w:sz w:val="18"/>
          <w:szCs w:val="18"/>
        </w:rPr>
      </w:pPr>
    </w:p>
    <w:p w14:paraId="43CCDF70" w14:textId="77777777" w:rsidR="00400F24" w:rsidRPr="00C77046" w:rsidRDefault="00AE603F">
      <w:pPr>
        <w:pStyle w:val="BodyText"/>
        <w:spacing w:before="1"/>
        <w:ind w:left="116" w:right="113"/>
        <w:jc w:val="both"/>
        <w:rPr>
          <w:sz w:val="18"/>
          <w:szCs w:val="18"/>
        </w:rPr>
      </w:pPr>
      <w:r w:rsidRPr="00C77046">
        <w:rPr>
          <w:b/>
          <w:sz w:val="18"/>
          <w:szCs w:val="18"/>
        </w:rPr>
        <w:t>КАТО ОТЧЕТЕ,</w:t>
      </w:r>
      <w:r w:rsidRPr="00C77046">
        <w:rPr>
          <w:sz w:val="18"/>
          <w:szCs w:val="18"/>
        </w:rPr>
        <w:t xml:space="preserve"> че предоставянето на обществото на безопасен, икономически и социално приемлив достъп до хора, места, стоки и услуги е предпоставка за продължителен икономически пр</w:t>
      </w:r>
      <w:r w:rsidRPr="00C77046">
        <w:rPr>
          <w:sz w:val="18"/>
          <w:szCs w:val="18"/>
        </w:rPr>
        <w:t>осперитет и устойчиво развитие в икономиките на ОИСР; че транспортният сектор обаче също е източник на натиск върху околната среда, като изпускане на замърсители във въздуха, водата и почвата, емисии на парникови газове и шум, както и разпокъсване на место</w:t>
      </w:r>
      <w:r w:rsidRPr="00C77046">
        <w:rPr>
          <w:sz w:val="18"/>
          <w:szCs w:val="18"/>
        </w:rPr>
        <w:t>обитанията; и че, въпреки това, технологичният напредък и</w:t>
      </w:r>
    </w:p>
    <w:p w14:paraId="43CCDF71" w14:textId="77777777" w:rsidR="00400F24" w:rsidRDefault="00400F24">
      <w:pPr>
        <w:jc w:val="both"/>
        <w:sectPr w:rsidR="00400F24">
          <w:pgSz w:w="11910" w:h="16840"/>
          <w:pgMar w:top="1320" w:right="1300" w:bottom="280" w:left="1300" w:header="849" w:footer="0" w:gutter="0"/>
          <w:cols w:space="720"/>
        </w:sectPr>
      </w:pPr>
    </w:p>
    <w:p w14:paraId="43CCDF72" w14:textId="77777777" w:rsidR="00400F24" w:rsidRPr="003215D8" w:rsidRDefault="00AE603F">
      <w:pPr>
        <w:pStyle w:val="BodyText"/>
        <w:spacing w:before="85"/>
        <w:ind w:left="116" w:right="121"/>
        <w:jc w:val="both"/>
        <w:rPr>
          <w:sz w:val="18"/>
          <w:szCs w:val="18"/>
        </w:rPr>
      </w:pPr>
      <w:r w:rsidRPr="003215D8">
        <w:rPr>
          <w:sz w:val="18"/>
          <w:szCs w:val="18"/>
        </w:rPr>
        <w:lastRenderedPageBreak/>
        <w:t>всеобхватните политики за намаляване на въздействието върху околната среда показаха успех и тези усилия трябва да продължат;</w:t>
      </w:r>
    </w:p>
    <w:p w14:paraId="43CCDF73" w14:textId="77777777" w:rsidR="00400F24" w:rsidRPr="003215D8" w:rsidRDefault="00400F24">
      <w:pPr>
        <w:pStyle w:val="BodyText"/>
        <w:spacing w:before="9"/>
        <w:rPr>
          <w:sz w:val="18"/>
          <w:szCs w:val="18"/>
        </w:rPr>
      </w:pPr>
    </w:p>
    <w:p w14:paraId="43CCDF74" w14:textId="77777777" w:rsidR="00400F24" w:rsidRPr="003215D8" w:rsidRDefault="00AE603F">
      <w:pPr>
        <w:pStyle w:val="BodyText"/>
        <w:spacing w:line="242" w:lineRule="auto"/>
        <w:ind w:left="116" w:right="121"/>
        <w:jc w:val="both"/>
        <w:rPr>
          <w:sz w:val="18"/>
          <w:szCs w:val="18"/>
        </w:rPr>
      </w:pPr>
      <w:r w:rsidRPr="003215D8">
        <w:rPr>
          <w:b/>
          <w:sz w:val="18"/>
          <w:szCs w:val="18"/>
        </w:rPr>
        <w:t>КАТО ОТЧЕТЕ,</w:t>
      </w:r>
      <w:r w:rsidRPr="003215D8">
        <w:rPr>
          <w:sz w:val="18"/>
          <w:szCs w:val="18"/>
        </w:rPr>
        <w:t xml:space="preserve"> че интегрирането на политики относно транспорта и околната среда е от основно значение за устойчивото развитие; че подобрените процедури за вземане на решения са ключът към по-интегрирани политики; и че инструментите в подкрепа на по-добър процес по взема</w:t>
      </w:r>
      <w:r w:rsidRPr="003215D8">
        <w:rPr>
          <w:sz w:val="18"/>
          <w:szCs w:val="18"/>
        </w:rPr>
        <w:t>не на решения, разработени от правителствата на ОИСР, следва да бъдат разгърнати по-широко;</w:t>
      </w:r>
    </w:p>
    <w:p w14:paraId="43CCDF75" w14:textId="77777777" w:rsidR="00400F24" w:rsidRPr="003215D8" w:rsidRDefault="00400F24">
      <w:pPr>
        <w:pStyle w:val="BodyText"/>
        <w:rPr>
          <w:sz w:val="18"/>
          <w:szCs w:val="18"/>
        </w:rPr>
      </w:pPr>
    </w:p>
    <w:p w14:paraId="43CCDF76" w14:textId="77777777" w:rsidR="00400F24" w:rsidRPr="003215D8" w:rsidRDefault="00AE603F">
      <w:pPr>
        <w:pStyle w:val="Heading2"/>
        <w:ind w:left="116" w:firstLine="0"/>
        <w:rPr>
          <w:sz w:val="18"/>
          <w:szCs w:val="18"/>
        </w:rPr>
      </w:pPr>
      <w:r w:rsidRPr="003215D8">
        <w:rPr>
          <w:sz w:val="18"/>
          <w:szCs w:val="18"/>
        </w:rPr>
        <w:t>По препоръка на Комитета по екологична политика;</w:t>
      </w:r>
    </w:p>
    <w:p w14:paraId="43CCDF77" w14:textId="77777777" w:rsidR="00400F24" w:rsidRPr="003215D8" w:rsidRDefault="00400F24">
      <w:pPr>
        <w:pStyle w:val="BodyText"/>
        <w:spacing w:before="10"/>
        <w:rPr>
          <w:b/>
          <w:sz w:val="18"/>
          <w:szCs w:val="18"/>
        </w:rPr>
      </w:pPr>
    </w:p>
    <w:p w14:paraId="43CCDF78" w14:textId="77777777" w:rsidR="00400F24" w:rsidRPr="003215D8" w:rsidRDefault="00AE603F">
      <w:pPr>
        <w:pStyle w:val="ListParagraph"/>
        <w:numPr>
          <w:ilvl w:val="0"/>
          <w:numId w:val="7"/>
        </w:numPr>
        <w:tabs>
          <w:tab w:val="left" w:pos="968"/>
          <w:tab w:val="left" w:pos="969"/>
        </w:tabs>
        <w:spacing w:line="242" w:lineRule="auto"/>
        <w:ind w:right="120" w:firstLine="0"/>
        <w:jc w:val="both"/>
        <w:rPr>
          <w:sz w:val="18"/>
          <w:szCs w:val="20"/>
        </w:rPr>
      </w:pPr>
      <w:r w:rsidRPr="003215D8">
        <w:rPr>
          <w:b/>
          <w:sz w:val="18"/>
          <w:szCs w:val="20"/>
        </w:rPr>
        <w:t>ПОТВЪРЖДАВА</w:t>
      </w:r>
      <w:r w:rsidRPr="003215D8">
        <w:rPr>
          <w:sz w:val="18"/>
          <w:szCs w:val="20"/>
        </w:rPr>
        <w:t xml:space="preserve"> важността, която страните-членки придават на интегрираната транспортна и екологична политика и на процеса по вземане на решения.</w:t>
      </w:r>
    </w:p>
    <w:p w14:paraId="43CCDF79" w14:textId="77777777" w:rsidR="00400F24" w:rsidRPr="003215D8" w:rsidRDefault="00400F24">
      <w:pPr>
        <w:pStyle w:val="BodyText"/>
        <w:spacing w:before="6"/>
        <w:rPr>
          <w:sz w:val="18"/>
          <w:szCs w:val="18"/>
        </w:rPr>
      </w:pPr>
    </w:p>
    <w:p w14:paraId="43CCDF7A" w14:textId="77777777" w:rsidR="00400F24" w:rsidRPr="003215D8" w:rsidRDefault="00AE603F">
      <w:pPr>
        <w:pStyle w:val="Heading2"/>
        <w:numPr>
          <w:ilvl w:val="0"/>
          <w:numId w:val="7"/>
        </w:numPr>
        <w:tabs>
          <w:tab w:val="left" w:pos="968"/>
          <w:tab w:val="left" w:pos="969"/>
        </w:tabs>
        <w:ind w:left="968" w:hanging="853"/>
        <w:jc w:val="both"/>
        <w:rPr>
          <w:sz w:val="18"/>
          <w:szCs w:val="18"/>
        </w:rPr>
      </w:pPr>
      <w:r w:rsidRPr="003215D8">
        <w:rPr>
          <w:sz w:val="18"/>
          <w:szCs w:val="18"/>
        </w:rPr>
        <w:t>СЪГЛАСЯВА СЕ, ЧЕ:</w:t>
      </w:r>
    </w:p>
    <w:p w14:paraId="43CCDF7B" w14:textId="77777777" w:rsidR="00400F24" w:rsidRPr="003215D8" w:rsidRDefault="00400F24">
      <w:pPr>
        <w:pStyle w:val="BodyText"/>
        <w:spacing w:before="11"/>
        <w:rPr>
          <w:b/>
          <w:sz w:val="18"/>
          <w:szCs w:val="18"/>
        </w:rPr>
      </w:pPr>
    </w:p>
    <w:p w14:paraId="43CCDF7C" w14:textId="77777777" w:rsidR="00400F24" w:rsidRPr="003215D8" w:rsidRDefault="00AE603F">
      <w:pPr>
        <w:pStyle w:val="ListParagraph"/>
        <w:numPr>
          <w:ilvl w:val="1"/>
          <w:numId w:val="7"/>
        </w:numPr>
        <w:tabs>
          <w:tab w:val="left" w:pos="830"/>
        </w:tabs>
        <w:ind w:right="123"/>
        <w:jc w:val="both"/>
        <w:rPr>
          <w:sz w:val="18"/>
          <w:szCs w:val="20"/>
        </w:rPr>
      </w:pPr>
      <w:r w:rsidRPr="003215D8">
        <w:rPr>
          <w:sz w:val="18"/>
          <w:szCs w:val="20"/>
        </w:rPr>
        <w:t>Добрите икономически, екологични и здравни оценки на транспортната политика и проектните предложения са от</w:t>
      </w:r>
      <w:r w:rsidRPr="003215D8">
        <w:rPr>
          <w:sz w:val="18"/>
          <w:szCs w:val="20"/>
        </w:rPr>
        <w:t xml:space="preserve"> съществено значение за гарантиране на ефективен и стабилен процес по вземане на решения и рентабилно използване на ресурсите;</w:t>
      </w:r>
    </w:p>
    <w:p w14:paraId="43CCDF7D" w14:textId="77777777" w:rsidR="00400F24" w:rsidRPr="003215D8" w:rsidRDefault="00AE603F">
      <w:pPr>
        <w:pStyle w:val="ListParagraph"/>
        <w:numPr>
          <w:ilvl w:val="1"/>
          <w:numId w:val="7"/>
        </w:numPr>
        <w:tabs>
          <w:tab w:val="left" w:pos="830"/>
        </w:tabs>
        <w:spacing w:before="122"/>
        <w:ind w:right="116"/>
        <w:jc w:val="both"/>
        <w:rPr>
          <w:sz w:val="18"/>
          <w:szCs w:val="20"/>
        </w:rPr>
      </w:pPr>
      <w:r w:rsidRPr="003215D8">
        <w:rPr>
          <w:sz w:val="18"/>
          <w:szCs w:val="20"/>
        </w:rPr>
        <w:t>Тази оценка на икономическата ефективност трябва да бъде подкрепена с по-широк анализ, който оценява, качествено и/или количестве</w:t>
      </w:r>
      <w:r w:rsidRPr="003215D8">
        <w:rPr>
          <w:sz w:val="18"/>
          <w:szCs w:val="20"/>
        </w:rPr>
        <w:t>но, въздействието върху околната среда, здравето и безопасността и разкрива географското разпределение на разходите и по отношение на различните засегнати общности;</w:t>
      </w:r>
    </w:p>
    <w:p w14:paraId="43CCDF7E" w14:textId="77777777" w:rsidR="00400F24" w:rsidRPr="003215D8" w:rsidRDefault="00AE603F">
      <w:pPr>
        <w:pStyle w:val="ListParagraph"/>
        <w:numPr>
          <w:ilvl w:val="1"/>
          <w:numId w:val="7"/>
        </w:numPr>
        <w:tabs>
          <w:tab w:val="left" w:pos="830"/>
        </w:tabs>
        <w:spacing w:before="119"/>
        <w:ind w:right="121"/>
        <w:jc w:val="both"/>
        <w:rPr>
          <w:sz w:val="18"/>
          <w:szCs w:val="20"/>
        </w:rPr>
      </w:pPr>
      <w:r w:rsidRPr="003215D8">
        <w:rPr>
          <w:sz w:val="18"/>
          <w:szCs w:val="20"/>
        </w:rPr>
        <w:t>Интегрираните оценки вероятно ще бъдат по-ефективни от изолираните икономически, екологични</w:t>
      </w:r>
      <w:r w:rsidRPr="003215D8">
        <w:rPr>
          <w:sz w:val="18"/>
          <w:szCs w:val="20"/>
        </w:rPr>
        <w:t>, социални и здравни оценки;</w:t>
      </w:r>
    </w:p>
    <w:p w14:paraId="43CCDF7F" w14:textId="77777777" w:rsidR="00400F24" w:rsidRPr="003215D8" w:rsidRDefault="00AE603F">
      <w:pPr>
        <w:pStyle w:val="ListParagraph"/>
        <w:numPr>
          <w:ilvl w:val="1"/>
          <w:numId w:val="7"/>
        </w:numPr>
        <w:tabs>
          <w:tab w:val="left" w:pos="830"/>
        </w:tabs>
        <w:spacing w:before="120"/>
        <w:ind w:right="122"/>
        <w:jc w:val="both"/>
        <w:rPr>
          <w:sz w:val="18"/>
          <w:szCs w:val="20"/>
        </w:rPr>
      </w:pPr>
      <w:r w:rsidRPr="003215D8">
        <w:rPr>
          <w:sz w:val="18"/>
          <w:szCs w:val="20"/>
        </w:rPr>
        <w:t>Тази интегрирана транспортна и екологична политика изисква прозрачни процедури за вземане на решения, които са свързани ясно с резултатите от икономическите и екологичните оценки;</w:t>
      </w:r>
    </w:p>
    <w:p w14:paraId="43CCDF80" w14:textId="77777777" w:rsidR="00400F24" w:rsidRPr="003215D8" w:rsidRDefault="00AE603F">
      <w:pPr>
        <w:pStyle w:val="ListParagraph"/>
        <w:numPr>
          <w:ilvl w:val="1"/>
          <w:numId w:val="7"/>
        </w:numPr>
        <w:tabs>
          <w:tab w:val="left" w:pos="830"/>
        </w:tabs>
        <w:spacing w:before="121"/>
        <w:ind w:right="122"/>
        <w:jc w:val="both"/>
        <w:rPr>
          <w:sz w:val="18"/>
          <w:szCs w:val="20"/>
        </w:rPr>
      </w:pPr>
      <w:r w:rsidRPr="003215D8">
        <w:rPr>
          <w:sz w:val="18"/>
          <w:szCs w:val="20"/>
        </w:rPr>
        <w:t>Интегрирани процедури за оценка и вземане на решения следва да бъдат проекти</w:t>
      </w:r>
      <w:r w:rsidRPr="003215D8">
        <w:rPr>
          <w:sz w:val="18"/>
          <w:szCs w:val="20"/>
        </w:rPr>
        <w:t>рани така, че да улеснят ефективни и прозрачни решения и тяхното прилагане;</w:t>
      </w:r>
    </w:p>
    <w:p w14:paraId="43CCDF81" w14:textId="77777777" w:rsidR="00400F24" w:rsidRPr="003215D8" w:rsidRDefault="00AE603F">
      <w:pPr>
        <w:pStyle w:val="ListParagraph"/>
        <w:numPr>
          <w:ilvl w:val="1"/>
          <w:numId w:val="7"/>
        </w:numPr>
        <w:tabs>
          <w:tab w:val="left" w:pos="830"/>
        </w:tabs>
        <w:spacing w:before="119"/>
        <w:ind w:right="124"/>
        <w:jc w:val="both"/>
        <w:rPr>
          <w:sz w:val="18"/>
          <w:szCs w:val="20"/>
        </w:rPr>
      </w:pPr>
      <w:r w:rsidRPr="003215D8">
        <w:rPr>
          <w:sz w:val="18"/>
          <w:szCs w:val="20"/>
        </w:rPr>
        <w:t>За разработване на ефективни интегрирани процедури за оценка ще бъде необходимо сътрудничество между министерствата, отговарящи за транспорта, планирането, околната среда, инфрастр</w:t>
      </w:r>
      <w:r w:rsidRPr="003215D8">
        <w:rPr>
          <w:sz w:val="18"/>
          <w:szCs w:val="20"/>
        </w:rPr>
        <w:t>уктурата, регионалното развитие и здравеопазването.</w:t>
      </w:r>
    </w:p>
    <w:p w14:paraId="43CCDF82" w14:textId="77777777" w:rsidR="00400F24" w:rsidRPr="003215D8" w:rsidRDefault="00400F24">
      <w:pPr>
        <w:pStyle w:val="BodyText"/>
        <w:spacing w:before="9"/>
        <w:rPr>
          <w:sz w:val="18"/>
          <w:szCs w:val="18"/>
        </w:rPr>
      </w:pPr>
    </w:p>
    <w:p w14:paraId="43CCDF83" w14:textId="77777777" w:rsidR="00400F24" w:rsidRPr="003215D8" w:rsidRDefault="00AE603F">
      <w:pPr>
        <w:pStyle w:val="ListParagraph"/>
        <w:numPr>
          <w:ilvl w:val="0"/>
          <w:numId w:val="7"/>
        </w:numPr>
        <w:tabs>
          <w:tab w:val="left" w:pos="968"/>
          <w:tab w:val="left" w:pos="969"/>
        </w:tabs>
        <w:spacing w:line="242" w:lineRule="auto"/>
        <w:ind w:right="121" w:firstLine="0"/>
        <w:jc w:val="both"/>
        <w:rPr>
          <w:sz w:val="18"/>
          <w:szCs w:val="20"/>
        </w:rPr>
      </w:pPr>
      <w:r w:rsidRPr="003215D8">
        <w:rPr>
          <w:b/>
          <w:sz w:val="18"/>
          <w:szCs w:val="20"/>
        </w:rPr>
        <w:t>ПРЕПОРЪЧВА</w:t>
      </w:r>
      <w:r w:rsidRPr="003215D8">
        <w:rPr>
          <w:sz w:val="18"/>
          <w:szCs w:val="20"/>
        </w:rPr>
        <w:t xml:space="preserve"> системната оценка на икономическите, социалните и екологичните ефекти да бъде в основата на всички транспортни планове и програми и всички големи инвестиции в транспортния сектор, като за тази</w:t>
      </w:r>
      <w:r w:rsidRPr="003215D8">
        <w:rPr>
          <w:sz w:val="18"/>
          <w:szCs w:val="20"/>
        </w:rPr>
        <w:t xml:space="preserve"> цел следва да се следват насоките, приложени по-долу.</w:t>
      </w:r>
    </w:p>
    <w:p w14:paraId="43CCDF84" w14:textId="77777777" w:rsidR="00400F24" w:rsidRPr="003215D8" w:rsidRDefault="00400F24">
      <w:pPr>
        <w:pStyle w:val="BodyText"/>
        <w:spacing w:before="2"/>
        <w:rPr>
          <w:sz w:val="18"/>
          <w:szCs w:val="18"/>
        </w:rPr>
      </w:pPr>
    </w:p>
    <w:p w14:paraId="43CCDF85" w14:textId="77777777" w:rsidR="00400F24" w:rsidRPr="003215D8" w:rsidRDefault="00AE603F">
      <w:pPr>
        <w:pStyle w:val="ListParagraph"/>
        <w:numPr>
          <w:ilvl w:val="0"/>
          <w:numId w:val="7"/>
        </w:numPr>
        <w:tabs>
          <w:tab w:val="left" w:pos="968"/>
          <w:tab w:val="left" w:pos="969"/>
        </w:tabs>
        <w:spacing w:line="242" w:lineRule="auto"/>
        <w:ind w:right="113" w:firstLine="0"/>
        <w:jc w:val="both"/>
        <w:rPr>
          <w:sz w:val="18"/>
          <w:szCs w:val="20"/>
        </w:rPr>
      </w:pPr>
      <w:r w:rsidRPr="003215D8">
        <w:rPr>
          <w:b/>
          <w:sz w:val="18"/>
          <w:szCs w:val="20"/>
        </w:rPr>
        <w:t>УКАЗВА</w:t>
      </w:r>
      <w:r w:rsidRPr="003215D8">
        <w:rPr>
          <w:sz w:val="18"/>
          <w:szCs w:val="20"/>
        </w:rPr>
        <w:t xml:space="preserve"> на Комитета по екологична политика, съвместно с Европейската конференция на министрите на транспорта, да наблюдават най-добрите практики при разработването на интегрирани процедури за оценка и </w:t>
      </w:r>
      <w:r w:rsidRPr="003215D8">
        <w:rPr>
          <w:sz w:val="18"/>
          <w:szCs w:val="20"/>
        </w:rPr>
        <w:t>инструменти в подкрепа на процеса по вземане на решения в транспортния сектор и да докладват на Съвета за действията, предприети в съответствие с тази Препоръка.</w:t>
      </w:r>
    </w:p>
    <w:p w14:paraId="43CCDF86" w14:textId="77777777" w:rsidR="00400F24" w:rsidRPr="003215D8" w:rsidRDefault="00400F24">
      <w:pPr>
        <w:pStyle w:val="BodyText"/>
        <w:spacing w:before="3"/>
        <w:rPr>
          <w:sz w:val="18"/>
          <w:szCs w:val="18"/>
        </w:rPr>
      </w:pPr>
    </w:p>
    <w:p w14:paraId="43CCDF87" w14:textId="77777777" w:rsidR="00400F24" w:rsidRPr="003215D8" w:rsidRDefault="00AE603F">
      <w:pPr>
        <w:ind w:left="848" w:right="850"/>
        <w:jc w:val="center"/>
        <w:rPr>
          <w:szCs w:val="20"/>
        </w:rPr>
      </w:pPr>
      <w:r w:rsidRPr="003215D8">
        <w:rPr>
          <w:szCs w:val="20"/>
        </w:rPr>
        <w:t>ПРИЛОЖЕНИЕ</w:t>
      </w:r>
    </w:p>
    <w:p w14:paraId="43CCDF88" w14:textId="77777777" w:rsidR="00400F24" w:rsidRPr="003215D8" w:rsidRDefault="00400F24">
      <w:pPr>
        <w:pStyle w:val="BodyText"/>
        <w:spacing w:before="9"/>
        <w:rPr>
          <w:sz w:val="18"/>
          <w:szCs w:val="18"/>
        </w:rPr>
      </w:pPr>
    </w:p>
    <w:p w14:paraId="43CCDF89" w14:textId="77777777" w:rsidR="00400F24" w:rsidRPr="003215D8" w:rsidRDefault="00AE603F">
      <w:pPr>
        <w:pStyle w:val="Heading2"/>
        <w:spacing w:before="1"/>
        <w:ind w:left="1207" w:right="850" w:firstLine="0"/>
        <w:jc w:val="center"/>
        <w:rPr>
          <w:sz w:val="18"/>
          <w:szCs w:val="18"/>
        </w:rPr>
      </w:pPr>
      <w:bookmarkStart w:id="0" w:name="GUIDELINES_FOR_GOOD_ASSESSMENT_AND_DECIS"/>
      <w:bookmarkEnd w:id="0"/>
      <w:r w:rsidRPr="003215D8">
        <w:rPr>
          <w:sz w:val="18"/>
          <w:szCs w:val="18"/>
        </w:rPr>
        <w:t>НАСОКИ ЗА ДОБРА ОЦЕНКА И ПОДКРЕПА ЗА ПРОЦЕСА НА ВЗИМАНЕ НА РЕШЕНИЯ</w:t>
      </w:r>
    </w:p>
    <w:p w14:paraId="43CCDF8A" w14:textId="77777777" w:rsidR="00400F24" w:rsidRPr="003215D8" w:rsidRDefault="00400F24">
      <w:pPr>
        <w:pStyle w:val="BodyText"/>
        <w:spacing w:before="10"/>
        <w:rPr>
          <w:b/>
          <w:sz w:val="18"/>
          <w:szCs w:val="18"/>
        </w:rPr>
      </w:pPr>
    </w:p>
    <w:p w14:paraId="43CCDF8B" w14:textId="77777777" w:rsidR="00400F24" w:rsidRPr="003215D8" w:rsidRDefault="00AE603F">
      <w:pPr>
        <w:pStyle w:val="ListParagraph"/>
        <w:numPr>
          <w:ilvl w:val="0"/>
          <w:numId w:val="6"/>
        </w:numPr>
        <w:tabs>
          <w:tab w:val="left" w:pos="968"/>
          <w:tab w:val="left" w:pos="969"/>
        </w:tabs>
        <w:ind w:hanging="853"/>
        <w:jc w:val="both"/>
        <w:rPr>
          <w:b/>
          <w:sz w:val="18"/>
          <w:szCs w:val="20"/>
        </w:rPr>
      </w:pPr>
      <w:r w:rsidRPr="003215D8">
        <w:rPr>
          <w:b/>
          <w:sz w:val="18"/>
          <w:szCs w:val="20"/>
        </w:rPr>
        <w:t>Общо</w:t>
      </w:r>
    </w:p>
    <w:p w14:paraId="43CCDF8C" w14:textId="77777777" w:rsidR="00400F24" w:rsidRPr="003215D8" w:rsidRDefault="00400F24">
      <w:pPr>
        <w:pStyle w:val="BodyText"/>
        <w:spacing w:before="11"/>
        <w:rPr>
          <w:b/>
          <w:sz w:val="18"/>
          <w:szCs w:val="18"/>
        </w:rPr>
      </w:pPr>
    </w:p>
    <w:p w14:paraId="43CCDF8D" w14:textId="77777777" w:rsidR="00400F24" w:rsidRPr="003215D8" w:rsidRDefault="00AE603F">
      <w:pPr>
        <w:pStyle w:val="ListParagraph"/>
        <w:numPr>
          <w:ilvl w:val="0"/>
          <w:numId w:val="5"/>
        </w:numPr>
        <w:tabs>
          <w:tab w:val="left" w:pos="968"/>
          <w:tab w:val="left" w:pos="969"/>
        </w:tabs>
        <w:ind w:right="128"/>
        <w:rPr>
          <w:sz w:val="18"/>
          <w:szCs w:val="20"/>
        </w:rPr>
      </w:pPr>
      <w:r w:rsidRPr="003215D8">
        <w:rPr>
          <w:sz w:val="18"/>
          <w:szCs w:val="20"/>
        </w:rPr>
        <w:t>Системната оценка на икономическите, социалните и екологичните ефекти следва да бъде в основата на всички транспортни планове, програми и всички големи инвестиции в транспортния сектор, като част от интегрирана процедура за оценка.</w:t>
      </w:r>
    </w:p>
    <w:p w14:paraId="43CCDF8E" w14:textId="77777777" w:rsidR="00400F24" w:rsidRPr="003215D8" w:rsidRDefault="00400F24">
      <w:pPr>
        <w:pStyle w:val="BodyText"/>
        <w:rPr>
          <w:szCs w:val="18"/>
        </w:rPr>
      </w:pPr>
    </w:p>
    <w:p w14:paraId="43CCDF8F" w14:textId="77777777" w:rsidR="00400F24" w:rsidRPr="003215D8" w:rsidRDefault="00AE603F">
      <w:pPr>
        <w:pStyle w:val="ListParagraph"/>
        <w:numPr>
          <w:ilvl w:val="0"/>
          <w:numId w:val="5"/>
        </w:numPr>
        <w:tabs>
          <w:tab w:val="left" w:pos="968"/>
          <w:tab w:val="left" w:pos="969"/>
        </w:tabs>
        <w:ind w:right="136"/>
        <w:rPr>
          <w:sz w:val="18"/>
          <w:szCs w:val="20"/>
        </w:rPr>
      </w:pPr>
      <w:r w:rsidRPr="003215D8">
        <w:rPr>
          <w:sz w:val="18"/>
          <w:szCs w:val="20"/>
        </w:rPr>
        <w:t>Доколкото е възможно, п</w:t>
      </w:r>
      <w:r w:rsidRPr="003215D8">
        <w:rPr>
          <w:sz w:val="18"/>
          <w:szCs w:val="20"/>
        </w:rPr>
        <w:t>одобна интегрирана оценка следва да бъде включена в изготвянето на транспортната политика.</w:t>
      </w:r>
    </w:p>
    <w:p w14:paraId="43CCDF90" w14:textId="77777777" w:rsidR="00400F24" w:rsidRPr="003215D8" w:rsidRDefault="00400F24">
      <w:pPr>
        <w:pStyle w:val="BodyText"/>
        <w:spacing w:before="8"/>
        <w:rPr>
          <w:sz w:val="18"/>
          <w:szCs w:val="18"/>
        </w:rPr>
      </w:pPr>
    </w:p>
    <w:p w14:paraId="43CCDF91" w14:textId="77777777" w:rsidR="00400F24" w:rsidRPr="003215D8" w:rsidRDefault="00AE603F">
      <w:pPr>
        <w:pStyle w:val="ListParagraph"/>
        <w:numPr>
          <w:ilvl w:val="0"/>
          <w:numId w:val="5"/>
        </w:numPr>
        <w:tabs>
          <w:tab w:val="left" w:pos="968"/>
          <w:tab w:val="left" w:pos="969"/>
        </w:tabs>
        <w:ind w:right="348"/>
        <w:rPr>
          <w:sz w:val="18"/>
          <w:szCs w:val="20"/>
        </w:rPr>
      </w:pPr>
      <w:r w:rsidRPr="003215D8">
        <w:rPr>
          <w:sz w:val="18"/>
          <w:szCs w:val="20"/>
        </w:rPr>
        <w:t>Политиците следва да бъдат ангажирани в установяването на по-широките цели, които транспортните проекти са предназначени да постигнат за икономиката и общността, чр</w:t>
      </w:r>
      <w:r w:rsidRPr="003215D8">
        <w:rPr>
          <w:sz w:val="18"/>
          <w:szCs w:val="20"/>
        </w:rPr>
        <w:t>ез консултации с транспортни и екологични, както и здравни експерти, проектанти, заинтересовани страни и</w:t>
      </w:r>
    </w:p>
    <w:p w14:paraId="43CCDF92" w14:textId="77777777" w:rsidR="00400F24" w:rsidRDefault="00400F24">
      <w:pPr>
        <w:rPr>
          <w:sz w:val="20"/>
        </w:rPr>
        <w:sectPr w:rsidR="00400F24">
          <w:pgSz w:w="11910" w:h="16840"/>
          <w:pgMar w:top="1320" w:right="1300" w:bottom="280" w:left="1300" w:header="849" w:footer="0" w:gutter="0"/>
          <w:cols w:space="720"/>
        </w:sectPr>
      </w:pPr>
    </w:p>
    <w:p w14:paraId="43CCDF93" w14:textId="77777777" w:rsidR="00400F24" w:rsidRPr="001F189C" w:rsidRDefault="00AE603F">
      <w:pPr>
        <w:pStyle w:val="BodyText"/>
        <w:spacing w:before="85"/>
        <w:ind w:left="968" w:right="172"/>
        <w:rPr>
          <w:sz w:val="18"/>
          <w:szCs w:val="18"/>
        </w:rPr>
      </w:pPr>
      <w:r w:rsidRPr="001F189C">
        <w:rPr>
          <w:sz w:val="18"/>
          <w:szCs w:val="18"/>
        </w:rPr>
        <w:lastRenderedPageBreak/>
        <w:t>общество в началото на процеса на планиране, за да се постигне консенсус и да се избегнат предизвикателства пред целите на проекта на</w:t>
      </w:r>
      <w:r w:rsidRPr="001F189C">
        <w:rPr>
          <w:sz w:val="18"/>
          <w:szCs w:val="18"/>
        </w:rPr>
        <w:t xml:space="preserve"> по-късни етапи с потенциално високи разходи.</w:t>
      </w:r>
    </w:p>
    <w:p w14:paraId="43CCDF94" w14:textId="77777777" w:rsidR="00400F24" w:rsidRPr="001F189C" w:rsidRDefault="00400F24">
      <w:pPr>
        <w:pStyle w:val="BodyText"/>
        <w:spacing w:before="9"/>
        <w:rPr>
          <w:sz w:val="18"/>
          <w:szCs w:val="18"/>
        </w:rPr>
      </w:pPr>
    </w:p>
    <w:p w14:paraId="43CCDF95" w14:textId="77777777" w:rsidR="00400F24" w:rsidRPr="001F189C" w:rsidRDefault="00AE603F">
      <w:pPr>
        <w:pStyle w:val="Heading2"/>
        <w:numPr>
          <w:ilvl w:val="0"/>
          <w:numId w:val="6"/>
        </w:numPr>
        <w:tabs>
          <w:tab w:val="left" w:pos="968"/>
          <w:tab w:val="left" w:pos="969"/>
        </w:tabs>
        <w:ind w:hanging="853"/>
        <w:rPr>
          <w:sz w:val="18"/>
          <w:szCs w:val="18"/>
        </w:rPr>
      </w:pPr>
      <w:r w:rsidRPr="001F189C">
        <w:rPr>
          <w:sz w:val="18"/>
          <w:szCs w:val="18"/>
        </w:rPr>
        <w:t>Относно подкрепата за процеса на взимане на решения</w:t>
      </w:r>
    </w:p>
    <w:p w14:paraId="43CCDF96" w14:textId="77777777" w:rsidR="00400F24" w:rsidRPr="001F189C" w:rsidRDefault="00400F24">
      <w:pPr>
        <w:pStyle w:val="BodyText"/>
        <w:spacing w:before="1"/>
        <w:rPr>
          <w:b/>
          <w:szCs w:val="18"/>
        </w:rPr>
      </w:pPr>
    </w:p>
    <w:p w14:paraId="43CCDF97" w14:textId="77777777" w:rsidR="00400F24" w:rsidRPr="001F189C" w:rsidRDefault="00AE603F">
      <w:pPr>
        <w:pStyle w:val="ListParagraph"/>
        <w:numPr>
          <w:ilvl w:val="0"/>
          <w:numId w:val="4"/>
        </w:numPr>
        <w:tabs>
          <w:tab w:val="left" w:pos="968"/>
          <w:tab w:val="left" w:pos="969"/>
        </w:tabs>
        <w:ind w:right="367"/>
        <w:rPr>
          <w:sz w:val="18"/>
          <w:szCs w:val="20"/>
        </w:rPr>
      </w:pPr>
      <w:r w:rsidRPr="001F189C">
        <w:rPr>
          <w:sz w:val="18"/>
          <w:szCs w:val="20"/>
        </w:rPr>
        <w:t>Интегрираните оценки трябва да бъдат представени по начин, който насочва политиците към ключовите фактори, които да претеглят при тяхното решение, като се п</w:t>
      </w:r>
      <w:r w:rsidRPr="001F189C">
        <w:rPr>
          <w:sz w:val="18"/>
          <w:szCs w:val="20"/>
        </w:rPr>
        <w:t>одчертават компромисите, рисковете и несигурността, вместо да се правят преценки вместо тях.</w:t>
      </w:r>
    </w:p>
    <w:p w14:paraId="43CCDF98" w14:textId="77777777" w:rsidR="00400F24" w:rsidRPr="001F189C" w:rsidRDefault="00400F24">
      <w:pPr>
        <w:pStyle w:val="BodyText"/>
        <w:spacing w:before="9"/>
        <w:rPr>
          <w:sz w:val="18"/>
          <w:szCs w:val="18"/>
        </w:rPr>
      </w:pPr>
    </w:p>
    <w:p w14:paraId="43CCDF99" w14:textId="77777777" w:rsidR="00400F24" w:rsidRPr="001F189C" w:rsidRDefault="00AE603F">
      <w:pPr>
        <w:pStyle w:val="ListParagraph"/>
        <w:numPr>
          <w:ilvl w:val="0"/>
          <w:numId w:val="4"/>
        </w:numPr>
        <w:tabs>
          <w:tab w:val="left" w:pos="968"/>
          <w:tab w:val="left" w:pos="969"/>
        </w:tabs>
        <w:ind w:right="697"/>
        <w:rPr>
          <w:sz w:val="18"/>
          <w:szCs w:val="20"/>
        </w:rPr>
      </w:pPr>
      <w:r w:rsidRPr="001F189C">
        <w:rPr>
          <w:sz w:val="18"/>
          <w:szCs w:val="20"/>
        </w:rPr>
        <w:t>Резултатите от оценките на проекти, планове и програми трябва да бъдат представени на политиците във форма, която е проста, сбита и ясно предаваща ключовите въпроси.</w:t>
      </w:r>
    </w:p>
    <w:p w14:paraId="43CCDF9A" w14:textId="77777777" w:rsidR="00400F24" w:rsidRPr="001F189C" w:rsidRDefault="00400F24">
      <w:pPr>
        <w:pStyle w:val="BodyText"/>
        <w:spacing w:before="11"/>
        <w:rPr>
          <w:sz w:val="18"/>
          <w:szCs w:val="18"/>
        </w:rPr>
      </w:pPr>
    </w:p>
    <w:p w14:paraId="43CCDF9B" w14:textId="77777777" w:rsidR="00400F24" w:rsidRPr="001F189C" w:rsidRDefault="00AE603F">
      <w:pPr>
        <w:pStyle w:val="ListParagraph"/>
        <w:numPr>
          <w:ilvl w:val="0"/>
          <w:numId w:val="4"/>
        </w:numPr>
        <w:tabs>
          <w:tab w:val="left" w:pos="968"/>
          <w:tab w:val="left" w:pos="969"/>
        </w:tabs>
        <w:ind w:right="806"/>
        <w:rPr>
          <w:sz w:val="18"/>
          <w:szCs w:val="20"/>
        </w:rPr>
      </w:pPr>
      <w:r w:rsidRPr="001F189C">
        <w:rPr>
          <w:sz w:val="18"/>
          <w:szCs w:val="20"/>
        </w:rPr>
        <w:t xml:space="preserve">Проследимостта трябва да бъде осигурена и това може да бъде направено чрез препращане на </w:t>
      </w:r>
      <w:r w:rsidRPr="001F189C">
        <w:rPr>
          <w:sz w:val="18"/>
          <w:szCs w:val="20"/>
        </w:rPr>
        <w:t>обобщените резултати към подкрепящ анализ в последователни слоеве на детайли.</w:t>
      </w:r>
    </w:p>
    <w:p w14:paraId="43CCDF9C" w14:textId="77777777" w:rsidR="00400F24" w:rsidRPr="001F189C" w:rsidRDefault="00400F24">
      <w:pPr>
        <w:pStyle w:val="BodyText"/>
        <w:spacing w:before="8"/>
        <w:rPr>
          <w:sz w:val="18"/>
          <w:szCs w:val="18"/>
        </w:rPr>
      </w:pPr>
    </w:p>
    <w:p w14:paraId="43CCDF9D" w14:textId="77777777" w:rsidR="00400F24" w:rsidRPr="001F189C" w:rsidRDefault="00AE603F">
      <w:pPr>
        <w:pStyle w:val="Heading2"/>
        <w:numPr>
          <w:ilvl w:val="0"/>
          <w:numId w:val="6"/>
        </w:numPr>
        <w:tabs>
          <w:tab w:val="left" w:pos="968"/>
          <w:tab w:val="left" w:pos="969"/>
        </w:tabs>
        <w:ind w:hanging="853"/>
        <w:rPr>
          <w:sz w:val="18"/>
          <w:szCs w:val="18"/>
        </w:rPr>
      </w:pPr>
      <w:r w:rsidRPr="001F189C">
        <w:rPr>
          <w:sz w:val="18"/>
          <w:szCs w:val="18"/>
        </w:rPr>
        <w:t>Относно институционалните договорености и процедури</w:t>
      </w:r>
    </w:p>
    <w:p w14:paraId="43CCDF9E" w14:textId="77777777" w:rsidR="00400F24" w:rsidRPr="001F189C" w:rsidRDefault="00400F24">
      <w:pPr>
        <w:pStyle w:val="BodyText"/>
        <w:rPr>
          <w:b/>
          <w:szCs w:val="18"/>
        </w:rPr>
      </w:pPr>
    </w:p>
    <w:p w14:paraId="43CCDF9F" w14:textId="77777777" w:rsidR="00400F24" w:rsidRPr="001F189C" w:rsidRDefault="00AE603F">
      <w:pPr>
        <w:pStyle w:val="ListParagraph"/>
        <w:numPr>
          <w:ilvl w:val="0"/>
          <w:numId w:val="3"/>
        </w:numPr>
        <w:tabs>
          <w:tab w:val="left" w:pos="968"/>
          <w:tab w:val="left" w:pos="969"/>
        </w:tabs>
        <w:ind w:right="687"/>
        <w:rPr>
          <w:sz w:val="18"/>
          <w:szCs w:val="20"/>
        </w:rPr>
      </w:pPr>
      <w:r w:rsidRPr="001F189C">
        <w:rPr>
          <w:sz w:val="18"/>
          <w:szCs w:val="20"/>
        </w:rPr>
        <w:t>Интегрираните оценки трябва да бъдат свързани директно с процедурите за взимане на решения от политици и технически лица, за</w:t>
      </w:r>
      <w:r w:rsidRPr="001F189C">
        <w:rPr>
          <w:sz w:val="18"/>
          <w:szCs w:val="20"/>
        </w:rPr>
        <w:t xml:space="preserve"> пълен ефект.</w:t>
      </w:r>
    </w:p>
    <w:p w14:paraId="43CCDFA0" w14:textId="77777777" w:rsidR="00400F24" w:rsidRPr="001F189C" w:rsidRDefault="00400F24">
      <w:pPr>
        <w:pStyle w:val="BodyText"/>
        <w:spacing w:before="10"/>
        <w:rPr>
          <w:sz w:val="18"/>
          <w:szCs w:val="18"/>
        </w:rPr>
      </w:pPr>
    </w:p>
    <w:p w14:paraId="43CCDFA1" w14:textId="77777777" w:rsidR="00400F24" w:rsidRPr="001F189C" w:rsidRDefault="00AE603F">
      <w:pPr>
        <w:pStyle w:val="ListParagraph"/>
        <w:numPr>
          <w:ilvl w:val="0"/>
          <w:numId w:val="3"/>
        </w:numPr>
        <w:tabs>
          <w:tab w:val="left" w:pos="968"/>
          <w:tab w:val="left" w:pos="969"/>
        </w:tabs>
        <w:spacing w:before="1"/>
        <w:ind w:right="447"/>
        <w:rPr>
          <w:sz w:val="18"/>
          <w:szCs w:val="20"/>
        </w:rPr>
      </w:pPr>
      <w:r w:rsidRPr="001F189C">
        <w:rPr>
          <w:sz w:val="18"/>
          <w:szCs w:val="20"/>
        </w:rPr>
        <w:t>Консултациите със заинтересованите страни и широката общественост са от решаващо значение за легитимността на оценките и трайността на техните резултати; те трябва да започнат рано и да се провеждат професионално, за да може успешно да се ан</w:t>
      </w:r>
      <w:r w:rsidRPr="001F189C">
        <w:rPr>
          <w:sz w:val="18"/>
          <w:szCs w:val="20"/>
        </w:rPr>
        <w:t>гажира участието и да се извличат и разглеждат истинските тревоги на обществеността.</w:t>
      </w:r>
    </w:p>
    <w:p w14:paraId="43CCDFA2" w14:textId="77777777" w:rsidR="00400F24" w:rsidRPr="001F189C" w:rsidRDefault="00400F24">
      <w:pPr>
        <w:pStyle w:val="BodyText"/>
        <w:spacing w:before="9"/>
        <w:rPr>
          <w:sz w:val="18"/>
          <w:szCs w:val="18"/>
        </w:rPr>
      </w:pPr>
    </w:p>
    <w:p w14:paraId="43CCDFA3" w14:textId="77777777" w:rsidR="00400F24" w:rsidRPr="001F189C" w:rsidRDefault="00AE603F">
      <w:pPr>
        <w:pStyle w:val="ListParagraph"/>
        <w:numPr>
          <w:ilvl w:val="0"/>
          <w:numId w:val="3"/>
        </w:numPr>
        <w:tabs>
          <w:tab w:val="left" w:pos="968"/>
          <w:tab w:val="left" w:pos="969"/>
        </w:tabs>
        <w:ind w:right="143"/>
        <w:rPr>
          <w:sz w:val="18"/>
          <w:szCs w:val="20"/>
        </w:rPr>
      </w:pPr>
      <w:r w:rsidRPr="001F189C">
        <w:rPr>
          <w:sz w:val="18"/>
          <w:szCs w:val="20"/>
        </w:rPr>
        <w:t>Оценките на инвестициите в инфраструктура трябва да се извършват с еднаква строгост, независимо от съответния вид транспорт.</w:t>
      </w:r>
    </w:p>
    <w:p w14:paraId="43CCDFA4" w14:textId="77777777" w:rsidR="00400F24" w:rsidRPr="001F189C" w:rsidRDefault="00400F24">
      <w:pPr>
        <w:pStyle w:val="BodyText"/>
        <w:spacing w:before="11"/>
        <w:rPr>
          <w:sz w:val="18"/>
          <w:szCs w:val="18"/>
        </w:rPr>
      </w:pPr>
    </w:p>
    <w:p w14:paraId="43CCDFA5" w14:textId="77777777" w:rsidR="00400F24" w:rsidRPr="001F189C" w:rsidRDefault="00AE603F">
      <w:pPr>
        <w:pStyle w:val="ListParagraph"/>
        <w:numPr>
          <w:ilvl w:val="0"/>
          <w:numId w:val="3"/>
        </w:numPr>
        <w:tabs>
          <w:tab w:val="left" w:pos="968"/>
          <w:tab w:val="left" w:pos="969"/>
        </w:tabs>
        <w:ind w:hanging="853"/>
        <w:rPr>
          <w:sz w:val="18"/>
          <w:szCs w:val="20"/>
        </w:rPr>
      </w:pPr>
      <w:r w:rsidRPr="001F189C">
        <w:rPr>
          <w:sz w:val="18"/>
          <w:szCs w:val="20"/>
        </w:rPr>
        <w:t>При необходимост следва да се предприемат тр</w:t>
      </w:r>
      <w:r w:rsidRPr="001F189C">
        <w:rPr>
          <w:sz w:val="18"/>
          <w:szCs w:val="20"/>
        </w:rPr>
        <w:t>ансгранични консултации.</w:t>
      </w:r>
    </w:p>
    <w:p w14:paraId="43CCDFA6" w14:textId="77777777" w:rsidR="00400F24" w:rsidRPr="001F189C" w:rsidRDefault="00400F24">
      <w:pPr>
        <w:pStyle w:val="BodyText"/>
        <w:spacing w:before="10"/>
        <w:rPr>
          <w:sz w:val="18"/>
          <w:szCs w:val="18"/>
        </w:rPr>
      </w:pPr>
    </w:p>
    <w:p w14:paraId="43CCDFA7" w14:textId="77777777" w:rsidR="00400F24" w:rsidRPr="001F189C" w:rsidRDefault="00AE603F">
      <w:pPr>
        <w:pStyle w:val="ListParagraph"/>
        <w:numPr>
          <w:ilvl w:val="0"/>
          <w:numId w:val="3"/>
        </w:numPr>
        <w:tabs>
          <w:tab w:val="left" w:pos="968"/>
          <w:tab w:val="left" w:pos="969"/>
        </w:tabs>
        <w:ind w:right="637"/>
        <w:rPr>
          <w:sz w:val="18"/>
          <w:szCs w:val="20"/>
        </w:rPr>
      </w:pPr>
      <w:r w:rsidRPr="001F189C">
        <w:rPr>
          <w:sz w:val="18"/>
          <w:szCs w:val="20"/>
        </w:rPr>
        <w:t>Последващите оценки за анализиране на ефективността на политиките и проектите след тяхното прилагане са важни за проверка на резултатите от оценките и за подобряване на бъдещите оценки на проекти.</w:t>
      </w:r>
    </w:p>
    <w:p w14:paraId="43CCDFA8" w14:textId="77777777" w:rsidR="00400F24" w:rsidRPr="001F189C" w:rsidRDefault="00400F24">
      <w:pPr>
        <w:pStyle w:val="BodyText"/>
        <w:spacing w:before="9"/>
        <w:rPr>
          <w:sz w:val="18"/>
          <w:szCs w:val="18"/>
        </w:rPr>
      </w:pPr>
    </w:p>
    <w:p w14:paraId="43CCDFA9" w14:textId="77777777" w:rsidR="00400F24" w:rsidRPr="001F189C" w:rsidRDefault="00AE603F">
      <w:pPr>
        <w:pStyle w:val="ListParagraph"/>
        <w:numPr>
          <w:ilvl w:val="0"/>
          <w:numId w:val="3"/>
        </w:numPr>
        <w:tabs>
          <w:tab w:val="left" w:pos="968"/>
          <w:tab w:val="left" w:pos="969"/>
        </w:tabs>
        <w:ind w:right="882"/>
        <w:rPr>
          <w:sz w:val="18"/>
          <w:szCs w:val="20"/>
        </w:rPr>
      </w:pPr>
      <w:r w:rsidRPr="001F189C">
        <w:rPr>
          <w:sz w:val="18"/>
          <w:szCs w:val="20"/>
        </w:rPr>
        <w:t xml:space="preserve">Агенциите за планиране на транспорта и </w:t>
      </w:r>
      <w:proofErr w:type="spellStart"/>
      <w:r w:rsidRPr="001F189C">
        <w:rPr>
          <w:sz w:val="18"/>
          <w:szCs w:val="20"/>
        </w:rPr>
        <w:t>земеползването</w:t>
      </w:r>
      <w:proofErr w:type="spellEnd"/>
      <w:r w:rsidRPr="001F189C">
        <w:rPr>
          <w:sz w:val="18"/>
          <w:szCs w:val="20"/>
        </w:rPr>
        <w:t xml:space="preserve"> може</w:t>
      </w:r>
      <w:r w:rsidRPr="001F189C">
        <w:rPr>
          <w:sz w:val="18"/>
          <w:szCs w:val="20"/>
        </w:rPr>
        <w:t xml:space="preserve"> да се нуждаят от обучение, подкрепа и допълнителен опит в по-новите дисциплини за оценка на въздействието върху околната среда и здравето; изграждането на институционален капацитет е желателно дори по отношение на съществуващите процедури.</w:t>
      </w:r>
    </w:p>
    <w:p w14:paraId="43CCDFAA" w14:textId="77777777" w:rsidR="00400F24" w:rsidRPr="001F189C" w:rsidRDefault="00400F24">
      <w:pPr>
        <w:pStyle w:val="BodyText"/>
        <w:spacing w:before="9"/>
        <w:rPr>
          <w:sz w:val="18"/>
          <w:szCs w:val="18"/>
        </w:rPr>
      </w:pPr>
    </w:p>
    <w:p w14:paraId="43CCDFAB" w14:textId="77777777" w:rsidR="00400F24" w:rsidRPr="001F189C" w:rsidRDefault="00AE603F">
      <w:pPr>
        <w:pStyle w:val="Heading2"/>
        <w:numPr>
          <w:ilvl w:val="0"/>
          <w:numId w:val="6"/>
        </w:numPr>
        <w:tabs>
          <w:tab w:val="left" w:pos="968"/>
          <w:tab w:val="left" w:pos="969"/>
        </w:tabs>
        <w:ind w:hanging="853"/>
        <w:rPr>
          <w:sz w:val="18"/>
          <w:szCs w:val="18"/>
        </w:rPr>
      </w:pPr>
      <w:r w:rsidRPr="001F189C">
        <w:rPr>
          <w:sz w:val="18"/>
          <w:szCs w:val="18"/>
        </w:rPr>
        <w:t>Относно съдърж</w:t>
      </w:r>
      <w:r w:rsidRPr="001F189C">
        <w:rPr>
          <w:sz w:val="18"/>
          <w:szCs w:val="18"/>
        </w:rPr>
        <w:t>анието на оценките</w:t>
      </w:r>
    </w:p>
    <w:p w14:paraId="43CCDFAC" w14:textId="77777777" w:rsidR="00400F24" w:rsidRPr="001F189C" w:rsidRDefault="00400F24">
      <w:pPr>
        <w:pStyle w:val="BodyText"/>
        <w:spacing w:before="2"/>
        <w:rPr>
          <w:b/>
          <w:szCs w:val="18"/>
        </w:rPr>
      </w:pPr>
    </w:p>
    <w:p w14:paraId="43CCDFAD" w14:textId="77777777" w:rsidR="00400F24" w:rsidRPr="001F189C" w:rsidRDefault="00AE603F">
      <w:pPr>
        <w:pStyle w:val="ListParagraph"/>
        <w:numPr>
          <w:ilvl w:val="0"/>
          <w:numId w:val="2"/>
        </w:numPr>
        <w:tabs>
          <w:tab w:val="left" w:pos="968"/>
          <w:tab w:val="left" w:pos="969"/>
        </w:tabs>
        <w:ind w:right="285"/>
        <w:rPr>
          <w:sz w:val="18"/>
          <w:szCs w:val="20"/>
        </w:rPr>
      </w:pPr>
      <w:r w:rsidRPr="001F189C">
        <w:rPr>
          <w:sz w:val="18"/>
          <w:szCs w:val="20"/>
        </w:rPr>
        <w:t>Интегрираните оценки трябва да имат за цел систематично представяне на всички съответни положителни и отрицателни въздействия върху благосъстоянието (икономика, здраве, околна среда, безопасност); когато е възможно, те трябва да бъдат количествено определе</w:t>
      </w:r>
      <w:r w:rsidRPr="001F189C">
        <w:rPr>
          <w:sz w:val="18"/>
          <w:szCs w:val="20"/>
        </w:rPr>
        <w:t>ни, в противен случай те трябва да бъдат описани качествено по прозрачен начин.</w:t>
      </w:r>
    </w:p>
    <w:p w14:paraId="43CCDFAE" w14:textId="77777777" w:rsidR="00400F24" w:rsidRPr="001F189C" w:rsidRDefault="00400F24">
      <w:pPr>
        <w:pStyle w:val="BodyText"/>
        <w:spacing w:before="8"/>
        <w:rPr>
          <w:sz w:val="18"/>
          <w:szCs w:val="18"/>
        </w:rPr>
      </w:pPr>
    </w:p>
    <w:p w14:paraId="43CCDFAF" w14:textId="77777777" w:rsidR="00400F24" w:rsidRPr="001F189C" w:rsidRDefault="00AE603F">
      <w:pPr>
        <w:pStyle w:val="ListParagraph"/>
        <w:numPr>
          <w:ilvl w:val="0"/>
          <w:numId w:val="2"/>
        </w:numPr>
        <w:tabs>
          <w:tab w:val="left" w:pos="968"/>
          <w:tab w:val="left" w:pos="969"/>
        </w:tabs>
        <w:spacing w:before="1"/>
        <w:ind w:right="883"/>
        <w:rPr>
          <w:sz w:val="18"/>
          <w:szCs w:val="20"/>
        </w:rPr>
      </w:pPr>
      <w:r w:rsidRPr="001F189C">
        <w:rPr>
          <w:sz w:val="18"/>
          <w:szCs w:val="20"/>
        </w:rPr>
        <w:t>Оценките трябва да съдържат изрично разглеждане на алтернативи, включително опцията „неизпълнение“.</w:t>
      </w:r>
    </w:p>
    <w:p w14:paraId="43CCDFB0" w14:textId="77777777" w:rsidR="00400F24" w:rsidRPr="001F189C" w:rsidRDefault="00400F24">
      <w:pPr>
        <w:pStyle w:val="BodyText"/>
        <w:spacing w:before="11"/>
        <w:rPr>
          <w:sz w:val="18"/>
          <w:szCs w:val="18"/>
        </w:rPr>
      </w:pPr>
    </w:p>
    <w:p w14:paraId="43CCDFB1" w14:textId="77777777" w:rsidR="00400F24" w:rsidRPr="001F189C" w:rsidRDefault="00AE603F">
      <w:pPr>
        <w:pStyle w:val="ListParagraph"/>
        <w:numPr>
          <w:ilvl w:val="0"/>
          <w:numId w:val="2"/>
        </w:numPr>
        <w:tabs>
          <w:tab w:val="left" w:pos="968"/>
          <w:tab w:val="left" w:pos="969"/>
        </w:tabs>
        <w:ind w:hanging="853"/>
        <w:rPr>
          <w:sz w:val="18"/>
          <w:szCs w:val="20"/>
        </w:rPr>
      </w:pPr>
      <w:r w:rsidRPr="001F189C">
        <w:rPr>
          <w:sz w:val="18"/>
          <w:szCs w:val="20"/>
        </w:rPr>
        <w:t>Несигурността и границите на оценките следва да бъдат ясни.</w:t>
      </w:r>
    </w:p>
    <w:p w14:paraId="43CCDFB2" w14:textId="77777777" w:rsidR="00400F24" w:rsidRPr="001F189C" w:rsidRDefault="00400F24">
      <w:pPr>
        <w:pStyle w:val="BodyText"/>
        <w:spacing w:before="8"/>
        <w:rPr>
          <w:sz w:val="18"/>
          <w:szCs w:val="18"/>
        </w:rPr>
      </w:pPr>
    </w:p>
    <w:p w14:paraId="43CCDFB3" w14:textId="77777777" w:rsidR="00400F24" w:rsidRPr="001F189C" w:rsidRDefault="00AE603F">
      <w:pPr>
        <w:pStyle w:val="ListParagraph"/>
        <w:numPr>
          <w:ilvl w:val="0"/>
          <w:numId w:val="2"/>
        </w:numPr>
        <w:tabs>
          <w:tab w:val="left" w:pos="968"/>
          <w:tab w:val="left" w:pos="969"/>
        </w:tabs>
        <w:ind w:right="139"/>
        <w:rPr>
          <w:sz w:val="18"/>
          <w:szCs w:val="20"/>
        </w:rPr>
      </w:pPr>
      <w:r w:rsidRPr="001F189C">
        <w:rPr>
          <w:sz w:val="18"/>
          <w:szCs w:val="20"/>
        </w:rPr>
        <w:t>Оценките след</w:t>
      </w:r>
      <w:r w:rsidRPr="001F189C">
        <w:rPr>
          <w:sz w:val="18"/>
          <w:szCs w:val="20"/>
        </w:rPr>
        <w:t>ва изрично да отчитат значителните изкривявания (по отношение на маргиналните социални разходи) в ценообразуването на транспортните услуги и на пазарите, които обслужват, тъй като тези изкривявания водят до по-широки икономически ефекти, както положителни,</w:t>
      </w:r>
      <w:r w:rsidRPr="001F189C">
        <w:rPr>
          <w:sz w:val="18"/>
          <w:szCs w:val="20"/>
        </w:rPr>
        <w:t xml:space="preserve"> така и отрицателни, отколкото е отчетено в конвенционалния анализ на разходите и ползите.</w:t>
      </w:r>
    </w:p>
    <w:p w14:paraId="43CCDFB4" w14:textId="77777777" w:rsidR="00400F24" w:rsidRPr="001F189C" w:rsidRDefault="00400F24">
      <w:pPr>
        <w:pStyle w:val="BodyText"/>
        <w:rPr>
          <w:szCs w:val="18"/>
        </w:rPr>
      </w:pPr>
    </w:p>
    <w:p w14:paraId="43CCDFB5" w14:textId="77777777" w:rsidR="00400F24" w:rsidRPr="001F189C" w:rsidRDefault="00AE603F">
      <w:pPr>
        <w:pStyle w:val="ListParagraph"/>
        <w:numPr>
          <w:ilvl w:val="0"/>
          <w:numId w:val="2"/>
        </w:numPr>
        <w:tabs>
          <w:tab w:val="left" w:pos="968"/>
          <w:tab w:val="left" w:pos="969"/>
        </w:tabs>
        <w:ind w:right="605"/>
        <w:rPr>
          <w:sz w:val="18"/>
          <w:szCs w:val="20"/>
        </w:rPr>
      </w:pPr>
      <w:r w:rsidRPr="001F189C">
        <w:rPr>
          <w:sz w:val="18"/>
          <w:szCs w:val="20"/>
        </w:rPr>
        <w:t>Когато допълнителните положителни ефекти, например по отношение на регионалното развитие, са важни за общите ползи от даден проект, трябва да се идентифицират специфичните механизми, чрез които те се осъществяват, за да се гарантира, че е вероятно да бъдат</w:t>
      </w:r>
      <w:r w:rsidRPr="001F189C">
        <w:rPr>
          <w:sz w:val="18"/>
          <w:szCs w:val="20"/>
        </w:rPr>
        <w:t xml:space="preserve"> постигнати планираните резултати.</w:t>
      </w:r>
    </w:p>
    <w:p w14:paraId="43CCDFB6" w14:textId="77777777" w:rsidR="00400F24" w:rsidRDefault="00400F24">
      <w:pPr>
        <w:rPr>
          <w:sz w:val="20"/>
        </w:rPr>
        <w:sectPr w:rsidR="00400F24">
          <w:pgSz w:w="11910" w:h="16840"/>
          <w:pgMar w:top="1320" w:right="1300" w:bottom="280" w:left="1300" w:header="849" w:footer="0" w:gutter="0"/>
          <w:cols w:space="720"/>
        </w:sectPr>
      </w:pPr>
    </w:p>
    <w:p w14:paraId="43CCDFB7" w14:textId="77777777" w:rsidR="00400F24" w:rsidRDefault="00AE603F">
      <w:pPr>
        <w:pStyle w:val="ListParagraph"/>
        <w:numPr>
          <w:ilvl w:val="0"/>
          <w:numId w:val="2"/>
        </w:numPr>
        <w:tabs>
          <w:tab w:val="left" w:pos="968"/>
          <w:tab w:val="left" w:pos="969"/>
        </w:tabs>
        <w:spacing w:before="85"/>
        <w:ind w:right="306"/>
        <w:rPr>
          <w:sz w:val="20"/>
        </w:rPr>
      </w:pPr>
      <w:r>
        <w:rPr>
          <w:sz w:val="20"/>
        </w:rPr>
        <w:lastRenderedPageBreak/>
        <w:t>Въздействията върху разпространението трябва да бъдат докладвани достатъчно подробно, тъй като косвените положителни и отрицателни въздействия върху регионалното развитие се натрупват върху различни хора</w:t>
      </w:r>
      <w:r>
        <w:rPr>
          <w:sz w:val="20"/>
        </w:rPr>
        <w:t xml:space="preserve"> и места от първоначалните ползи от транспорта и тяхната честота вероятно ще се промени с течение на времето.</w:t>
      </w:r>
    </w:p>
    <w:p w14:paraId="43CCDFB8" w14:textId="77777777" w:rsidR="00400F24" w:rsidRDefault="00400F24">
      <w:pPr>
        <w:rPr>
          <w:sz w:val="20"/>
        </w:rPr>
        <w:sectPr w:rsidR="00400F24">
          <w:pgSz w:w="11910" w:h="16840"/>
          <w:pgMar w:top="1320" w:right="1300" w:bottom="280" w:left="1300" w:header="849" w:footer="0" w:gutter="0"/>
          <w:cols w:space="720"/>
        </w:sectPr>
      </w:pPr>
    </w:p>
    <w:p w14:paraId="43CCDFB9" w14:textId="77777777" w:rsidR="00400F24" w:rsidRDefault="00AE603F">
      <w:pPr>
        <w:pStyle w:val="Heading1"/>
      </w:pPr>
      <w:bookmarkStart w:id="1" w:name="About_the_OECD"/>
      <w:bookmarkEnd w:id="1"/>
      <w:r>
        <w:rPr>
          <w:color w:val="1F4679"/>
        </w:rPr>
        <w:lastRenderedPageBreak/>
        <w:t>Относно ОИСР</w:t>
      </w:r>
    </w:p>
    <w:p w14:paraId="43CCDFBA" w14:textId="77777777" w:rsidR="00400F24" w:rsidRDefault="00400F24">
      <w:pPr>
        <w:pStyle w:val="BodyText"/>
        <w:spacing w:before="5"/>
        <w:rPr>
          <w:b/>
          <w:sz w:val="21"/>
        </w:rPr>
      </w:pPr>
    </w:p>
    <w:p w14:paraId="43CCDFBB" w14:textId="77777777" w:rsidR="00400F24" w:rsidRDefault="00AE603F">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w:t>
      </w:r>
      <w:r>
        <w:t>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w:t>
      </w:r>
      <w:r>
        <w:t>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43CCDFBC" w14:textId="77777777" w:rsidR="00400F24" w:rsidRDefault="00400F24">
      <w:pPr>
        <w:pStyle w:val="BodyText"/>
        <w:spacing w:before="10"/>
      </w:pPr>
    </w:p>
    <w:p w14:paraId="43CCDFBD" w14:textId="77777777" w:rsidR="00400F24" w:rsidRDefault="00AE603F">
      <w:pPr>
        <w:pStyle w:val="BodyText"/>
        <w:ind w:left="115" w:right="144" w:hanging="3"/>
        <w:jc w:val="both"/>
      </w:pPr>
      <w:r>
        <w:t>Страните чл</w:t>
      </w:r>
      <w:r>
        <w:t>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w:t>
      </w:r>
      <w:r>
        <w:t>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43CCDFBE" w14:textId="77777777" w:rsidR="00400F24" w:rsidRDefault="00400F24">
      <w:pPr>
        <w:pStyle w:val="BodyText"/>
        <w:rPr>
          <w:sz w:val="22"/>
        </w:rPr>
      </w:pPr>
    </w:p>
    <w:p w14:paraId="43CCDFBF" w14:textId="77777777" w:rsidR="00400F24" w:rsidRDefault="00AE603F">
      <w:pPr>
        <w:pStyle w:val="Heading1"/>
        <w:spacing w:before="141"/>
      </w:pPr>
      <w:bookmarkStart w:id="2" w:name="OECD_Legal_Instruments"/>
      <w:bookmarkEnd w:id="2"/>
      <w:r>
        <w:rPr>
          <w:color w:val="1F4679"/>
        </w:rPr>
        <w:t>Правни инструменти на ОИСР</w:t>
      </w:r>
    </w:p>
    <w:p w14:paraId="43CCDFC0" w14:textId="77777777" w:rsidR="00400F24" w:rsidRDefault="00400F24">
      <w:pPr>
        <w:pStyle w:val="BodyText"/>
        <w:spacing w:before="7"/>
        <w:rPr>
          <w:b/>
          <w:sz w:val="21"/>
        </w:rPr>
      </w:pPr>
    </w:p>
    <w:p w14:paraId="43CCDFC1" w14:textId="77777777" w:rsidR="00400F24" w:rsidRDefault="00AE603F">
      <w:pPr>
        <w:pStyle w:val="BodyText"/>
        <w:ind w:left="116" w:right="150"/>
        <w:jc w:val="both"/>
      </w:pPr>
      <w:r>
        <w:t>От създаването на ОИСР през 1961 г. в</w:t>
      </w:r>
      <w:r>
        <w:t xml:space="preserve"> рамките на ОИСР са разработени около 460 </w:t>
      </w:r>
      <w:proofErr w:type="spellStart"/>
      <w:r>
        <w:t>материалноправни</w:t>
      </w:r>
      <w:proofErr w:type="spellEnd"/>
      <w:r>
        <w:t xml:space="preserve">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w:t>
      </w:r>
      <w:r>
        <w:t>кларации, международни споразумения).</w:t>
      </w:r>
    </w:p>
    <w:p w14:paraId="43CCDFC2" w14:textId="77777777" w:rsidR="00400F24" w:rsidRDefault="00400F24">
      <w:pPr>
        <w:pStyle w:val="BodyText"/>
        <w:spacing w:before="10"/>
      </w:pPr>
    </w:p>
    <w:p w14:paraId="43CCDFC3" w14:textId="77777777" w:rsidR="00400F24" w:rsidRDefault="00AE603F">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43CCDFC4" w14:textId="77777777" w:rsidR="00400F24" w:rsidRDefault="00400F24">
      <w:pPr>
        <w:pStyle w:val="BodyText"/>
        <w:spacing w:before="8"/>
        <w:rPr>
          <w:sz w:val="18"/>
        </w:rPr>
      </w:pPr>
    </w:p>
    <w:p w14:paraId="43CCDFC5" w14:textId="77777777" w:rsidR="00400F24" w:rsidRDefault="00AE603F">
      <w:pPr>
        <w:pStyle w:val="ListParagraph"/>
        <w:numPr>
          <w:ilvl w:val="0"/>
          <w:numId w:val="1"/>
        </w:numPr>
        <w:tabs>
          <w:tab w:val="left" w:pos="852"/>
          <w:tab w:val="left" w:pos="853"/>
        </w:tabs>
        <w:spacing w:line="242" w:lineRule="auto"/>
        <w:ind w:right="110"/>
        <w:jc w:val="both"/>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43CCDFC6" w14:textId="77777777" w:rsidR="00400F24" w:rsidRDefault="00400F24">
      <w:pPr>
        <w:pStyle w:val="BodyText"/>
        <w:spacing w:before="7"/>
        <w:rPr>
          <w:sz w:val="17"/>
        </w:rPr>
      </w:pPr>
    </w:p>
    <w:p w14:paraId="43CCDFC7" w14:textId="77777777" w:rsidR="00400F24" w:rsidRDefault="00AE603F">
      <w:pPr>
        <w:pStyle w:val="ListParagraph"/>
        <w:numPr>
          <w:ilvl w:val="0"/>
          <w:numId w:val="1"/>
        </w:numPr>
        <w:tabs>
          <w:tab w:val="left" w:pos="852"/>
          <w:tab w:val="left" w:pos="853"/>
        </w:tabs>
        <w:spacing w:line="242" w:lineRule="auto"/>
        <w:ind w:right="105"/>
        <w:jc w:val="both"/>
        <w:rPr>
          <w:sz w:val="20"/>
        </w:rPr>
      </w:pPr>
      <w:r>
        <w:rPr>
          <w:b/>
          <w:sz w:val="20"/>
        </w:rPr>
        <w:t>Препоръките</w:t>
      </w:r>
      <w:r>
        <w:rPr>
          <w:sz w:val="20"/>
        </w:rPr>
        <w:t xml:space="preserve"> се приемат от Съвета</w:t>
      </w:r>
      <w:r>
        <w:rPr>
          <w:sz w:val="20"/>
        </w:rPr>
        <w:t xml:space="preserve"> и не са правно обвързващи. Те представляват политически ангажимент към принципите, които съдържат, и включват очакване, че присъединилите се страни ще направят всичко възможно, за да ги изпълнят.</w:t>
      </w:r>
    </w:p>
    <w:p w14:paraId="43CCDFC8" w14:textId="77777777" w:rsidR="00400F24" w:rsidRDefault="00400F24">
      <w:pPr>
        <w:pStyle w:val="BodyText"/>
        <w:spacing w:before="7"/>
        <w:rPr>
          <w:sz w:val="17"/>
        </w:rPr>
      </w:pPr>
    </w:p>
    <w:p w14:paraId="43CCDFC9" w14:textId="77777777" w:rsidR="00400F24" w:rsidRDefault="00AE603F">
      <w:pPr>
        <w:pStyle w:val="ListParagraph"/>
        <w:numPr>
          <w:ilvl w:val="0"/>
          <w:numId w:val="1"/>
        </w:numPr>
        <w:tabs>
          <w:tab w:val="left" w:pos="852"/>
          <w:tab w:val="left" w:pos="853"/>
        </w:tabs>
        <w:spacing w:line="242" w:lineRule="auto"/>
        <w:ind w:right="103"/>
        <w:jc w:val="both"/>
        <w:rPr>
          <w:sz w:val="20"/>
        </w:rPr>
      </w:pPr>
      <w:r>
        <w:rPr>
          <w:b/>
          <w:sz w:val="20"/>
        </w:rPr>
        <w:t>Документите за съществени резултати</w:t>
      </w:r>
      <w:r>
        <w:rPr>
          <w:sz w:val="20"/>
        </w:rPr>
        <w:t xml:space="preserve"> се приемат от отделнит</w:t>
      </w:r>
      <w:r>
        <w:rPr>
          <w:sz w:val="20"/>
        </w:rPr>
        <w:t>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43CCDFCA" w14:textId="77777777" w:rsidR="00400F24" w:rsidRDefault="00400F24">
      <w:pPr>
        <w:pStyle w:val="BodyText"/>
        <w:spacing w:before="10"/>
        <w:rPr>
          <w:sz w:val="17"/>
        </w:rPr>
      </w:pPr>
    </w:p>
    <w:p w14:paraId="43CCDFCB" w14:textId="77777777" w:rsidR="00400F24" w:rsidRDefault="00AE603F">
      <w:pPr>
        <w:pStyle w:val="ListParagraph"/>
        <w:numPr>
          <w:ilvl w:val="0"/>
          <w:numId w:val="1"/>
        </w:numPr>
        <w:tabs>
          <w:tab w:val="left" w:pos="852"/>
          <w:tab w:val="left" w:pos="853"/>
        </w:tabs>
        <w:ind w:right="114"/>
        <w:jc w:val="both"/>
        <w:rPr>
          <w:sz w:val="20"/>
        </w:rPr>
      </w:pPr>
      <w:r>
        <w:rPr>
          <w:sz w:val="20"/>
        </w:rPr>
        <w:t>В рамките на Организац</w:t>
      </w:r>
      <w:r>
        <w:rPr>
          <w:sz w:val="20"/>
        </w:rPr>
        <w:t xml:space="preserve">ията се договарят и сключват </w:t>
      </w:r>
      <w:r>
        <w:rPr>
          <w:b/>
          <w:sz w:val="20"/>
        </w:rPr>
        <w:t>международни споразумения.</w:t>
      </w:r>
      <w:r>
        <w:rPr>
          <w:sz w:val="20"/>
        </w:rPr>
        <w:t xml:space="preserve"> Те са правно обвързващи за страните.</w:t>
      </w:r>
    </w:p>
    <w:p w14:paraId="43CCDFCC" w14:textId="77777777" w:rsidR="00400F24" w:rsidRDefault="00400F24">
      <w:pPr>
        <w:pStyle w:val="BodyText"/>
        <w:spacing w:before="7"/>
        <w:rPr>
          <w:sz w:val="19"/>
        </w:rPr>
      </w:pPr>
    </w:p>
    <w:p w14:paraId="43CCDFCD" w14:textId="77777777" w:rsidR="00400F24" w:rsidRDefault="00AE603F">
      <w:pPr>
        <w:pStyle w:val="ListParagraph"/>
        <w:numPr>
          <w:ilvl w:val="0"/>
          <w:numId w:val="1"/>
        </w:numPr>
        <w:tabs>
          <w:tab w:val="left" w:pos="852"/>
          <w:tab w:val="left" w:pos="853"/>
        </w:tabs>
        <w:ind w:right="108" w:hanging="710"/>
        <w:jc w:val="both"/>
        <w:rPr>
          <w:sz w:val="20"/>
        </w:rPr>
      </w:pPr>
      <w:r>
        <w:rPr>
          <w:b/>
          <w:sz w:val="20"/>
        </w:rPr>
        <w:t>Споразумение, разбирателство и други</w:t>
      </w:r>
      <w:r>
        <w:rPr>
          <w:sz w:val="20"/>
        </w:rPr>
        <w:t xml:space="preserve">: няколко други типа </w:t>
      </w:r>
      <w:proofErr w:type="spellStart"/>
      <w:r>
        <w:rPr>
          <w:sz w:val="20"/>
        </w:rPr>
        <w:t>материалноправни</w:t>
      </w:r>
      <w:proofErr w:type="spellEnd"/>
      <w:r>
        <w:rPr>
          <w:sz w:val="20"/>
        </w:rPr>
        <w:t xml:space="preserve"> инструменти са разработени в рамките на ОИСР с течение на времето, като споразумението з</w:t>
      </w:r>
      <w:r>
        <w:rPr>
          <w:sz w:val="20"/>
        </w:rPr>
        <w:t>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400F24">
      <w:headerReference w:type="even" r:id="rId16"/>
      <w:pgSz w:w="11940" w:h="16860"/>
      <w:pgMar w:top="1300" w:right="1260" w:bottom="280" w:left="13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A622FF" w14:textId="77777777" w:rsidR="00AE603F" w:rsidRDefault="00AE603F">
      <w:r>
        <w:separator/>
      </w:r>
    </w:p>
  </w:endnote>
  <w:endnote w:type="continuationSeparator" w:id="0">
    <w:p w14:paraId="7D3794BF" w14:textId="77777777" w:rsidR="00AE603F" w:rsidRDefault="00AE60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Black">
    <w:altName w:val="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030CD" w14:textId="77777777" w:rsidR="00AE603F" w:rsidRDefault="00AE603F">
      <w:r>
        <w:separator/>
      </w:r>
    </w:p>
  </w:footnote>
  <w:footnote w:type="continuationSeparator" w:id="0">
    <w:p w14:paraId="09A8211C" w14:textId="77777777" w:rsidR="00AE603F" w:rsidRDefault="00AE60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CDFD5" w14:textId="1585BDEF" w:rsidR="00400F24" w:rsidRDefault="00B32090">
    <w:pPr>
      <w:pStyle w:val="BodyText"/>
      <w:spacing w:line="14" w:lineRule="auto"/>
    </w:pPr>
    <w:r>
      <w:pict w14:anchorId="43CCDFD9">
        <v:shapetype id="_x0000_t202" coordsize="21600,21600" o:spt="202" path="m,l,21600r21600,l21600,xe">
          <v:stroke joinstyle="miter"/>
          <v:path gradientshapeok="t" o:connecttype="rect"/>
        </v:shapetype>
        <v:shape id="_x0000_s1025" type="#_x0000_t202" style="position:absolute;margin-left:25.25pt;margin-top:43.95pt;width:234.25pt;height:38.55pt;z-index:-15884800;mso-position-horizontal-relative:page;mso-position-vertical-relative:page" filled="f" stroked="f">
          <v:textbox inset="0,0,0,0">
            <w:txbxContent>
              <w:p w14:paraId="43CCDFDF" w14:textId="3DB4B31A" w:rsidR="00400F24" w:rsidRDefault="00AE603F">
                <w:pPr>
                  <w:pStyle w:val="BodyText"/>
                  <w:tabs>
                    <w:tab w:val="left" w:pos="626"/>
                  </w:tabs>
                  <w:spacing w:before="18"/>
                  <w:ind w:left="60"/>
                </w:pPr>
                <w:r>
                  <w:fldChar w:fldCharType="begin"/>
                </w:r>
                <w:r>
                  <w:rPr>
                    <w:b/>
                    <w:color w:val="2B2A29"/>
                    <w:u w:val="single" w:color="2A2928"/>
                  </w:rPr>
                  <w:instrText xml:space="preserve"> PAGE </w:instrText>
                </w:r>
                <w:r>
                  <w:fldChar w:fldCharType="separate"/>
                </w:r>
                <w:r>
                  <w:t>4</w:t>
                </w:r>
                <w:r>
                  <w:fldChar w:fldCharType="end"/>
                </w:r>
                <w:r>
                  <w:rPr>
                    <w:b/>
                    <w:color w:val="2B2A29"/>
                    <w:u w:val="single" w:color="2A2928"/>
                  </w:rPr>
                  <w:tab/>
                </w:r>
                <w:r>
                  <w:rPr>
                    <w:color w:val="2B2A29"/>
                    <w:u w:val="single" w:color="2A2928"/>
                  </w:rPr>
                  <w:t>O</w:t>
                </w:r>
                <w:r>
                  <w:rPr>
                    <w:color w:val="2B2A29"/>
                  </w:rPr>
                  <w:t>E</w:t>
                </w:r>
                <w:r>
                  <w:rPr>
                    <w:color w:val="2B2A29"/>
                    <w:u w:val="single" w:color="2A2928"/>
                  </w:rPr>
                  <w:t>C</w:t>
                </w:r>
                <w:r>
                  <w:rPr>
                    <w:color w:val="2B2A29"/>
                    <w:u w:val="single" w:color="2A2928"/>
                  </w:rPr>
                  <w:t>D</w:t>
                </w:r>
                <w:r>
                  <w:rPr>
                    <w:color w:val="2B2A29"/>
                  </w:rPr>
                  <w:t>/L</w:t>
                </w:r>
                <w:r>
                  <w:rPr>
                    <w:color w:val="2B2A29"/>
                    <w:u w:val="single" w:color="2A2928"/>
                  </w:rPr>
                  <w:t>EG</w:t>
                </w:r>
                <w:r>
                  <w:rPr>
                    <w:color w:val="2B2A29"/>
                  </w:rPr>
                  <w:t>A</w:t>
                </w:r>
                <w:r>
                  <w:rPr>
                    <w:color w:val="2B2A29"/>
                  </w:rPr>
                  <w:t>L</w:t>
                </w:r>
                <w:r>
                  <w:rPr>
                    <w:color w:val="2B2A29"/>
                  </w:rPr>
                  <w:t>/</w:t>
                </w:r>
                <w:r>
                  <w:rPr>
                    <w:color w:val="2B2A29"/>
                  </w:rPr>
                  <w:t>0</w:t>
                </w:r>
                <w:r>
                  <w:rPr>
                    <w:color w:val="2B2A29"/>
                  </w:rPr>
                  <w:t>3</w:t>
                </w:r>
                <w:r>
                  <w:rPr>
                    <w:color w:val="2B2A29"/>
                  </w:rPr>
                  <w:t>2</w:t>
                </w:r>
                <w:r>
                  <w:rPr>
                    <w:color w:val="2B2A29"/>
                  </w:rPr>
                  <w:t>5</w:t>
                </w:r>
              </w:p>
            </w:txbxContent>
          </v:textbox>
          <w10:wrap anchorx="page" anchory="page"/>
        </v:shape>
      </w:pict>
    </w:r>
    <w:r w:rsidR="00AE603F">
      <w:pict w14:anchorId="43CCDFD8">
        <v:line id="_x0000_s1026" style="position:absolute;z-index:-15885312;mso-position-horizontal-relative:page;mso-position-vertical-relative:page" from="158pt,56.05pt" to="554.1pt,56.05pt" strokecolor="#2a2928" strokeweight=".63pt">
          <w10:wrap anchorx="page" anchory="page"/>
        </v:lin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CDFD6" w14:textId="5976EB07" w:rsidR="00400F24" w:rsidRDefault="00727120">
    <w:pPr>
      <w:pStyle w:val="BodyText"/>
      <w:spacing w:line="14" w:lineRule="auto"/>
    </w:pPr>
    <w:r>
      <w:pict w14:anchorId="43CCDFDB">
        <v:shapetype id="_x0000_t202" coordsize="21600,21600" o:spt="202" path="m,l,21600r21600,l21600,xe">
          <v:stroke joinstyle="miter"/>
          <v:path gradientshapeok="t" o:connecttype="rect"/>
        </v:shapetype>
        <v:shape id="_x0000_s1027" type="#_x0000_t202" style="position:absolute;margin-left:432.1pt;margin-top:41.25pt;width:158.9pt;height:29.75pt;z-index:-15885824;mso-position-horizontal-relative:page;mso-position-vertical-relative:page" filled="f" stroked="f">
          <v:textbox inset="0,0,0,0">
            <w:txbxContent>
              <w:p w14:paraId="43CCDFDE" w14:textId="7E6827E4" w:rsidR="00400F24" w:rsidRPr="00B32090" w:rsidRDefault="00AE603F">
                <w:pPr>
                  <w:pStyle w:val="BodyText"/>
                  <w:tabs>
                    <w:tab w:val="left" w:pos="2308"/>
                  </w:tabs>
                  <w:spacing w:before="18"/>
                  <w:ind w:left="20"/>
                  <w:rPr>
                    <w:rFonts w:ascii="Times New Roman" w:hAnsi="Times New Roman" w:cs="Times New Roman"/>
                    <w:sz w:val="22"/>
                    <w:szCs w:val="22"/>
                  </w:rPr>
                </w:pPr>
                <w:r w:rsidRPr="00B32090">
                  <w:rPr>
                    <w:rFonts w:ascii="Times New Roman" w:hAnsi="Times New Roman" w:cs="Times New Roman"/>
                    <w:color w:val="2B2A29"/>
                    <w:sz w:val="22"/>
                    <w:szCs w:val="22"/>
                  </w:rPr>
                  <w:t>O</w:t>
                </w:r>
                <w:r w:rsidRPr="00B32090">
                  <w:rPr>
                    <w:rFonts w:ascii="Times New Roman" w:hAnsi="Times New Roman" w:cs="Times New Roman"/>
                    <w:color w:val="2B2A29"/>
                    <w:sz w:val="22"/>
                    <w:szCs w:val="22"/>
                  </w:rPr>
                  <w:t>E</w:t>
                </w:r>
                <w:r w:rsidRPr="00B32090">
                  <w:rPr>
                    <w:rFonts w:ascii="Times New Roman" w:hAnsi="Times New Roman" w:cs="Times New Roman"/>
                    <w:color w:val="2B2A29"/>
                    <w:sz w:val="22"/>
                    <w:szCs w:val="22"/>
                  </w:rPr>
                  <w:t>C</w:t>
                </w:r>
                <w:r w:rsidRPr="00B32090">
                  <w:rPr>
                    <w:rFonts w:ascii="Times New Roman" w:hAnsi="Times New Roman" w:cs="Times New Roman"/>
                    <w:color w:val="2B2A29"/>
                    <w:sz w:val="22"/>
                    <w:szCs w:val="22"/>
                    <w:u w:val="single" w:color="2A2928"/>
                  </w:rPr>
                  <w:t>D/</w:t>
                </w:r>
                <w:r w:rsidRPr="00B32090">
                  <w:rPr>
                    <w:rFonts w:ascii="Times New Roman" w:hAnsi="Times New Roman" w:cs="Times New Roman"/>
                    <w:color w:val="2B2A29"/>
                    <w:sz w:val="22"/>
                    <w:szCs w:val="22"/>
                  </w:rPr>
                  <w:t>L</w:t>
                </w:r>
                <w:r w:rsidRPr="00B32090">
                  <w:rPr>
                    <w:rFonts w:ascii="Times New Roman" w:hAnsi="Times New Roman" w:cs="Times New Roman"/>
                    <w:color w:val="2B2A29"/>
                    <w:sz w:val="22"/>
                    <w:szCs w:val="22"/>
                    <w:u w:val="single" w:color="2A2928"/>
                  </w:rPr>
                  <w:t>EG</w:t>
                </w:r>
                <w:r w:rsidRPr="00B32090">
                  <w:rPr>
                    <w:rFonts w:ascii="Times New Roman" w:hAnsi="Times New Roman" w:cs="Times New Roman"/>
                    <w:color w:val="2B2A29"/>
                    <w:sz w:val="22"/>
                    <w:szCs w:val="22"/>
                  </w:rPr>
                  <w:t>A</w:t>
                </w:r>
                <w:r w:rsidRPr="00B32090">
                  <w:rPr>
                    <w:rFonts w:ascii="Times New Roman" w:hAnsi="Times New Roman" w:cs="Times New Roman"/>
                    <w:color w:val="2B2A29"/>
                    <w:sz w:val="22"/>
                    <w:szCs w:val="22"/>
                  </w:rPr>
                  <w:t>L</w:t>
                </w:r>
                <w:r w:rsidRPr="00B32090">
                  <w:rPr>
                    <w:rFonts w:ascii="Times New Roman" w:hAnsi="Times New Roman" w:cs="Times New Roman"/>
                    <w:color w:val="2B2A29"/>
                    <w:sz w:val="22"/>
                    <w:szCs w:val="22"/>
                  </w:rPr>
                  <w:t>/</w:t>
                </w:r>
                <w:r w:rsidRPr="00B32090">
                  <w:rPr>
                    <w:rFonts w:ascii="Times New Roman" w:hAnsi="Times New Roman" w:cs="Times New Roman"/>
                    <w:color w:val="2B2A29"/>
                    <w:sz w:val="22"/>
                    <w:szCs w:val="22"/>
                  </w:rPr>
                  <w:t>0</w:t>
                </w:r>
                <w:r w:rsidRPr="00B32090">
                  <w:rPr>
                    <w:rFonts w:ascii="Times New Roman" w:hAnsi="Times New Roman" w:cs="Times New Roman"/>
                    <w:color w:val="2B2A29"/>
                    <w:sz w:val="22"/>
                    <w:szCs w:val="22"/>
                  </w:rPr>
                  <w:t>3</w:t>
                </w:r>
                <w:r w:rsidRPr="00B32090">
                  <w:rPr>
                    <w:rFonts w:ascii="Times New Roman" w:hAnsi="Times New Roman" w:cs="Times New Roman"/>
                    <w:color w:val="2B2A29"/>
                    <w:sz w:val="22"/>
                    <w:szCs w:val="22"/>
                  </w:rPr>
                  <w:t>2</w:t>
                </w:r>
                <w:r w:rsidRPr="00B32090">
                  <w:rPr>
                    <w:rFonts w:ascii="Times New Roman" w:hAnsi="Times New Roman" w:cs="Times New Roman"/>
                    <w:color w:val="2B2A29"/>
                    <w:sz w:val="22"/>
                    <w:szCs w:val="22"/>
                  </w:rPr>
                  <w:t>5</w:t>
                </w:r>
                <w:r w:rsidRPr="00B32090">
                  <w:rPr>
                    <w:rFonts w:ascii="Times New Roman" w:hAnsi="Times New Roman" w:cs="Times New Roman"/>
                    <w:color w:val="2B2A29"/>
                    <w:sz w:val="22"/>
                    <w:szCs w:val="22"/>
                    <w:u w:val="single" w:color="2A2928"/>
                  </w:rPr>
                  <w:t xml:space="preserve"> </w:t>
                </w:r>
                <w:r w:rsidRPr="00B32090">
                  <w:rPr>
                    <w:rFonts w:ascii="Times New Roman" w:hAnsi="Times New Roman" w:cs="Times New Roman"/>
                    <w:color w:val="2B2A29"/>
                    <w:sz w:val="22"/>
                    <w:szCs w:val="22"/>
                    <w:u w:val="single" w:color="2A2928"/>
                  </w:rPr>
                  <w:tab/>
                </w:r>
                <w:r w:rsidRPr="00B32090">
                  <w:rPr>
                    <w:rFonts w:ascii="Times New Roman" w:hAnsi="Times New Roman" w:cs="Times New Roman"/>
                    <w:sz w:val="22"/>
                    <w:szCs w:val="22"/>
                  </w:rPr>
                  <w:fldChar w:fldCharType="begin"/>
                </w:r>
                <w:r w:rsidRPr="00B32090">
                  <w:rPr>
                    <w:rFonts w:ascii="Times New Roman" w:hAnsi="Times New Roman" w:cs="Times New Roman"/>
                    <w:b/>
                    <w:i/>
                    <w:color w:val="2B2A29"/>
                    <w:sz w:val="22"/>
                    <w:szCs w:val="22"/>
                  </w:rPr>
                  <w:instrText xml:space="preserve"> PAGE </w:instrText>
                </w:r>
                <w:r w:rsidRPr="00B32090">
                  <w:rPr>
                    <w:rFonts w:ascii="Times New Roman" w:hAnsi="Times New Roman" w:cs="Times New Roman"/>
                    <w:sz w:val="22"/>
                    <w:szCs w:val="22"/>
                  </w:rPr>
                  <w:fldChar w:fldCharType="separate"/>
                </w:r>
                <w:r w:rsidRPr="00B32090">
                  <w:rPr>
                    <w:rFonts w:ascii="Times New Roman" w:hAnsi="Times New Roman" w:cs="Times New Roman"/>
                    <w:sz w:val="22"/>
                    <w:szCs w:val="22"/>
                  </w:rPr>
                  <w:t>5</w:t>
                </w:r>
                <w:r w:rsidRPr="00B32090">
                  <w:rPr>
                    <w:rFonts w:ascii="Times New Roman" w:hAnsi="Times New Roman" w:cs="Times New Roman"/>
                    <w:sz w:val="22"/>
                    <w:szCs w:val="22"/>
                  </w:rPr>
                  <w:fldChar w:fldCharType="end"/>
                </w:r>
                <w:r w:rsidRPr="00B32090">
                  <w:rPr>
                    <w:rFonts w:ascii="Times New Roman" w:hAnsi="Times New Roman" w:cs="Times New Roman"/>
                    <w:color w:val="2B2A29"/>
                    <w:sz w:val="22"/>
                    <w:szCs w:val="22"/>
                  </w:rPr>
                  <w:t>_</w:t>
                </w:r>
              </w:p>
            </w:txbxContent>
          </v:textbox>
          <w10:wrap anchorx="page" anchory="page"/>
        </v:shape>
      </w:pict>
    </w:r>
    <w:r w:rsidR="00AE603F">
      <w:pict w14:anchorId="43CCDFDA">
        <v:line id="_x0000_s1028" style="position:absolute;z-index:-15886336;mso-position-horizontal-relative:page;mso-position-vertical-relative:page" from="42.5pt,56.05pt" to="438.6pt,56.05pt" strokecolor="#2a2928" strokeweight=".63pt">
          <w10:wrap anchorx="page" anchory="page"/>
        </v:lin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CDFD7" w14:textId="77777777" w:rsidR="00400F24" w:rsidRDefault="00400F24">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724DAD"/>
    <w:multiLevelType w:val="hybridMultilevel"/>
    <w:tmpl w:val="7288295C"/>
    <w:lvl w:ilvl="0" w:tplc="F6141328">
      <w:start w:val="1"/>
      <w:numFmt w:val="lowerLetter"/>
      <w:lvlText w:val="%1)"/>
      <w:lvlJc w:val="left"/>
      <w:pPr>
        <w:ind w:left="968" w:hanging="852"/>
        <w:jc w:val="left"/>
      </w:pPr>
      <w:rPr>
        <w:rFonts w:ascii="Arial" w:eastAsia="Arial" w:hAnsi="Arial" w:cs="Arial" w:hint="default"/>
        <w:spacing w:val="-1"/>
        <w:w w:val="99"/>
        <w:sz w:val="20"/>
        <w:szCs w:val="20"/>
        <w:lang w:val="en-US" w:eastAsia="en-US" w:bidi="ar-SA"/>
      </w:rPr>
    </w:lvl>
    <w:lvl w:ilvl="1" w:tplc="5922D356">
      <w:numFmt w:val="bullet"/>
      <w:lvlText w:val="•"/>
      <w:lvlJc w:val="left"/>
      <w:pPr>
        <w:ind w:left="1794" w:hanging="852"/>
      </w:pPr>
      <w:rPr>
        <w:rFonts w:hint="default"/>
        <w:lang w:val="en-US" w:eastAsia="en-US" w:bidi="ar-SA"/>
      </w:rPr>
    </w:lvl>
    <w:lvl w:ilvl="2" w:tplc="33746DBA">
      <w:numFmt w:val="bullet"/>
      <w:lvlText w:val="•"/>
      <w:lvlJc w:val="left"/>
      <w:pPr>
        <w:ind w:left="2629" w:hanging="852"/>
      </w:pPr>
      <w:rPr>
        <w:rFonts w:hint="default"/>
        <w:lang w:val="en-US" w:eastAsia="en-US" w:bidi="ar-SA"/>
      </w:rPr>
    </w:lvl>
    <w:lvl w:ilvl="3" w:tplc="EAAEAE30">
      <w:numFmt w:val="bullet"/>
      <w:lvlText w:val="•"/>
      <w:lvlJc w:val="left"/>
      <w:pPr>
        <w:ind w:left="3463" w:hanging="852"/>
      </w:pPr>
      <w:rPr>
        <w:rFonts w:hint="default"/>
        <w:lang w:val="en-US" w:eastAsia="en-US" w:bidi="ar-SA"/>
      </w:rPr>
    </w:lvl>
    <w:lvl w:ilvl="4" w:tplc="120839AC">
      <w:numFmt w:val="bullet"/>
      <w:lvlText w:val="•"/>
      <w:lvlJc w:val="left"/>
      <w:pPr>
        <w:ind w:left="4298" w:hanging="852"/>
      </w:pPr>
      <w:rPr>
        <w:rFonts w:hint="default"/>
        <w:lang w:val="en-US" w:eastAsia="en-US" w:bidi="ar-SA"/>
      </w:rPr>
    </w:lvl>
    <w:lvl w:ilvl="5" w:tplc="E7D2040A">
      <w:numFmt w:val="bullet"/>
      <w:lvlText w:val="•"/>
      <w:lvlJc w:val="left"/>
      <w:pPr>
        <w:ind w:left="5133" w:hanging="852"/>
      </w:pPr>
      <w:rPr>
        <w:rFonts w:hint="default"/>
        <w:lang w:val="en-US" w:eastAsia="en-US" w:bidi="ar-SA"/>
      </w:rPr>
    </w:lvl>
    <w:lvl w:ilvl="6" w:tplc="31BC4242">
      <w:numFmt w:val="bullet"/>
      <w:lvlText w:val="•"/>
      <w:lvlJc w:val="left"/>
      <w:pPr>
        <w:ind w:left="5967" w:hanging="852"/>
      </w:pPr>
      <w:rPr>
        <w:rFonts w:hint="default"/>
        <w:lang w:val="en-US" w:eastAsia="en-US" w:bidi="ar-SA"/>
      </w:rPr>
    </w:lvl>
    <w:lvl w:ilvl="7" w:tplc="28BE7546">
      <w:numFmt w:val="bullet"/>
      <w:lvlText w:val="•"/>
      <w:lvlJc w:val="left"/>
      <w:pPr>
        <w:ind w:left="6802" w:hanging="852"/>
      </w:pPr>
      <w:rPr>
        <w:rFonts w:hint="default"/>
        <w:lang w:val="en-US" w:eastAsia="en-US" w:bidi="ar-SA"/>
      </w:rPr>
    </w:lvl>
    <w:lvl w:ilvl="8" w:tplc="745EB410">
      <w:numFmt w:val="bullet"/>
      <w:lvlText w:val="•"/>
      <w:lvlJc w:val="left"/>
      <w:pPr>
        <w:ind w:left="7637" w:hanging="852"/>
      </w:pPr>
      <w:rPr>
        <w:rFonts w:hint="default"/>
        <w:lang w:val="en-US" w:eastAsia="en-US" w:bidi="ar-SA"/>
      </w:rPr>
    </w:lvl>
  </w:abstractNum>
  <w:abstractNum w:abstractNumId="1" w15:restartNumberingAfterBreak="0">
    <w:nsid w:val="21DC3634"/>
    <w:multiLevelType w:val="hybridMultilevel"/>
    <w:tmpl w:val="3480856E"/>
    <w:lvl w:ilvl="0" w:tplc="5FE68AC8">
      <w:start w:val="1"/>
      <w:numFmt w:val="lowerLetter"/>
      <w:lvlText w:val="%1)"/>
      <w:lvlJc w:val="left"/>
      <w:pPr>
        <w:ind w:left="968" w:hanging="852"/>
        <w:jc w:val="left"/>
      </w:pPr>
      <w:rPr>
        <w:rFonts w:ascii="Arial" w:eastAsia="Arial" w:hAnsi="Arial" w:cs="Arial" w:hint="default"/>
        <w:spacing w:val="-1"/>
        <w:w w:val="99"/>
        <w:sz w:val="20"/>
        <w:szCs w:val="20"/>
        <w:lang w:val="en-US" w:eastAsia="en-US" w:bidi="ar-SA"/>
      </w:rPr>
    </w:lvl>
    <w:lvl w:ilvl="1" w:tplc="C09CA49C">
      <w:numFmt w:val="bullet"/>
      <w:lvlText w:val="•"/>
      <w:lvlJc w:val="left"/>
      <w:pPr>
        <w:ind w:left="1794" w:hanging="852"/>
      </w:pPr>
      <w:rPr>
        <w:rFonts w:hint="default"/>
        <w:lang w:val="en-US" w:eastAsia="en-US" w:bidi="ar-SA"/>
      </w:rPr>
    </w:lvl>
    <w:lvl w:ilvl="2" w:tplc="97169D24">
      <w:numFmt w:val="bullet"/>
      <w:lvlText w:val="•"/>
      <w:lvlJc w:val="left"/>
      <w:pPr>
        <w:ind w:left="2629" w:hanging="852"/>
      </w:pPr>
      <w:rPr>
        <w:rFonts w:hint="default"/>
        <w:lang w:val="en-US" w:eastAsia="en-US" w:bidi="ar-SA"/>
      </w:rPr>
    </w:lvl>
    <w:lvl w:ilvl="3" w:tplc="0B980238">
      <w:numFmt w:val="bullet"/>
      <w:lvlText w:val="•"/>
      <w:lvlJc w:val="left"/>
      <w:pPr>
        <w:ind w:left="3463" w:hanging="852"/>
      </w:pPr>
      <w:rPr>
        <w:rFonts w:hint="default"/>
        <w:lang w:val="en-US" w:eastAsia="en-US" w:bidi="ar-SA"/>
      </w:rPr>
    </w:lvl>
    <w:lvl w:ilvl="4" w:tplc="82DEE9D6">
      <w:numFmt w:val="bullet"/>
      <w:lvlText w:val="•"/>
      <w:lvlJc w:val="left"/>
      <w:pPr>
        <w:ind w:left="4298" w:hanging="852"/>
      </w:pPr>
      <w:rPr>
        <w:rFonts w:hint="default"/>
        <w:lang w:val="en-US" w:eastAsia="en-US" w:bidi="ar-SA"/>
      </w:rPr>
    </w:lvl>
    <w:lvl w:ilvl="5" w:tplc="5A80675A">
      <w:numFmt w:val="bullet"/>
      <w:lvlText w:val="•"/>
      <w:lvlJc w:val="left"/>
      <w:pPr>
        <w:ind w:left="5133" w:hanging="852"/>
      </w:pPr>
      <w:rPr>
        <w:rFonts w:hint="default"/>
        <w:lang w:val="en-US" w:eastAsia="en-US" w:bidi="ar-SA"/>
      </w:rPr>
    </w:lvl>
    <w:lvl w:ilvl="6" w:tplc="7BE0A530">
      <w:numFmt w:val="bullet"/>
      <w:lvlText w:val="•"/>
      <w:lvlJc w:val="left"/>
      <w:pPr>
        <w:ind w:left="5967" w:hanging="852"/>
      </w:pPr>
      <w:rPr>
        <w:rFonts w:hint="default"/>
        <w:lang w:val="en-US" w:eastAsia="en-US" w:bidi="ar-SA"/>
      </w:rPr>
    </w:lvl>
    <w:lvl w:ilvl="7" w:tplc="922E8B9E">
      <w:numFmt w:val="bullet"/>
      <w:lvlText w:val="•"/>
      <w:lvlJc w:val="left"/>
      <w:pPr>
        <w:ind w:left="6802" w:hanging="852"/>
      </w:pPr>
      <w:rPr>
        <w:rFonts w:hint="default"/>
        <w:lang w:val="en-US" w:eastAsia="en-US" w:bidi="ar-SA"/>
      </w:rPr>
    </w:lvl>
    <w:lvl w:ilvl="8" w:tplc="C4D257AA">
      <w:numFmt w:val="bullet"/>
      <w:lvlText w:val="•"/>
      <w:lvlJc w:val="left"/>
      <w:pPr>
        <w:ind w:left="7637" w:hanging="852"/>
      </w:pPr>
      <w:rPr>
        <w:rFonts w:hint="default"/>
        <w:lang w:val="en-US" w:eastAsia="en-US" w:bidi="ar-SA"/>
      </w:rPr>
    </w:lvl>
  </w:abstractNum>
  <w:abstractNum w:abstractNumId="2" w15:restartNumberingAfterBreak="0">
    <w:nsid w:val="25927C04"/>
    <w:multiLevelType w:val="hybridMultilevel"/>
    <w:tmpl w:val="0784AA56"/>
    <w:lvl w:ilvl="0" w:tplc="46FA63EA">
      <w:numFmt w:val="bullet"/>
      <w:lvlText w:val=""/>
      <w:lvlJc w:val="left"/>
      <w:pPr>
        <w:ind w:left="852" w:hanging="711"/>
      </w:pPr>
      <w:rPr>
        <w:rFonts w:ascii="Symbol" w:eastAsia="Symbol" w:hAnsi="Symbol" w:cs="Symbol" w:hint="default"/>
        <w:w w:val="95"/>
        <w:sz w:val="20"/>
        <w:szCs w:val="20"/>
        <w:lang w:val="en-US" w:eastAsia="en-US" w:bidi="ar-SA"/>
      </w:rPr>
    </w:lvl>
    <w:lvl w:ilvl="1" w:tplc="8F4CDE32">
      <w:numFmt w:val="bullet"/>
      <w:lvlText w:val="•"/>
      <w:lvlJc w:val="left"/>
      <w:pPr>
        <w:ind w:left="1712" w:hanging="711"/>
      </w:pPr>
      <w:rPr>
        <w:rFonts w:hint="default"/>
        <w:lang w:val="en-US" w:eastAsia="en-US" w:bidi="ar-SA"/>
      </w:rPr>
    </w:lvl>
    <w:lvl w:ilvl="2" w:tplc="AF8655BE">
      <w:numFmt w:val="bullet"/>
      <w:lvlText w:val="•"/>
      <w:lvlJc w:val="left"/>
      <w:pPr>
        <w:ind w:left="2564" w:hanging="711"/>
      </w:pPr>
      <w:rPr>
        <w:rFonts w:hint="default"/>
        <w:lang w:val="en-US" w:eastAsia="en-US" w:bidi="ar-SA"/>
      </w:rPr>
    </w:lvl>
    <w:lvl w:ilvl="3" w:tplc="C9E271D8">
      <w:numFmt w:val="bullet"/>
      <w:lvlText w:val="•"/>
      <w:lvlJc w:val="left"/>
      <w:pPr>
        <w:ind w:left="3416" w:hanging="711"/>
      </w:pPr>
      <w:rPr>
        <w:rFonts w:hint="default"/>
        <w:lang w:val="en-US" w:eastAsia="en-US" w:bidi="ar-SA"/>
      </w:rPr>
    </w:lvl>
    <w:lvl w:ilvl="4" w:tplc="C4E4DBEA">
      <w:numFmt w:val="bullet"/>
      <w:lvlText w:val="•"/>
      <w:lvlJc w:val="left"/>
      <w:pPr>
        <w:ind w:left="4268" w:hanging="711"/>
      </w:pPr>
      <w:rPr>
        <w:rFonts w:hint="default"/>
        <w:lang w:val="en-US" w:eastAsia="en-US" w:bidi="ar-SA"/>
      </w:rPr>
    </w:lvl>
    <w:lvl w:ilvl="5" w:tplc="55EEDBF2">
      <w:numFmt w:val="bullet"/>
      <w:lvlText w:val="•"/>
      <w:lvlJc w:val="left"/>
      <w:pPr>
        <w:ind w:left="5120" w:hanging="711"/>
      </w:pPr>
      <w:rPr>
        <w:rFonts w:hint="default"/>
        <w:lang w:val="en-US" w:eastAsia="en-US" w:bidi="ar-SA"/>
      </w:rPr>
    </w:lvl>
    <w:lvl w:ilvl="6" w:tplc="867CA77E">
      <w:numFmt w:val="bullet"/>
      <w:lvlText w:val="•"/>
      <w:lvlJc w:val="left"/>
      <w:pPr>
        <w:ind w:left="5972" w:hanging="711"/>
      </w:pPr>
      <w:rPr>
        <w:rFonts w:hint="default"/>
        <w:lang w:val="en-US" w:eastAsia="en-US" w:bidi="ar-SA"/>
      </w:rPr>
    </w:lvl>
    <w:lvl w:ilvl="7" w:tplc="1FC8B83A">
      <w:numFmt w:val="bullet"/>
      <w:lvlText w:val="•"/>
      <w:lvlJc w:val="left"/>
      <w:pPr>
        <w:ind w:left="6824" w:hanging="711"/>
      </w:pPr>
      <w:rPr>
        <w:rFonts w:hint="default"/>
        <w:lang w:val="en-US" w:eastAsia="en-US" w:bidi="ar-SA"/>
      </w:rPr>
    </w:lvl>
    <w:lvl w:ilvl="8" w:tplc="14CEA27C">
      <w:numFmt w:val="bullet"/>
      <w:lvlText w:val="•"/>
      <w:lvlJc w:val="left"/>
      <w:pPr>
        <w:ind w:left="7676" w:hanging="711"/>
      </w:pPr>
      <w:rPr>
        <w:rFonts w:hint="default"/>
        <w:lang w:val="en-US" w:eastAsia="en-US" w:bidi="ar-SA"/>
      </w:rPr>
    </w:lvl>
  </w:abstractNum>
  <w:abstractNum w:abstractNumId="3" w15:restartNumberingAfterBreak="0">
    <w:nsid w:val="36A35341"/>
    <w:multiLevelType w:val="hybridMultilevel"/>
    <w:tmpl w:val="6EE6E22C"/>
    <w:lvl w:ilvl="0" w:tplc="2C8C4C48">
      <w:start w:val="1"/>
      <w:numFmt w:val="lowerLetter"/>
      <w:lvlText w:val="%1)"/>
      <w:lvlJc w:val="left"/>
      <w:pPr>
        <w:ind w:left="968" w:hanging="852"/>
        <w:jc w:val="left"/>
      </w:pPr>
      <w:rPr>
        <w:rFonts w:ascii="Arial" w:eastAsia="Arial" w:hAnsi="Arial" w:cs="Arial" w:hint="default"/>
        <w:spacing w:val="-1"/>
        <w:w w:val="99"/>
        <w:sz w:val="20"/>
        <w:szCs w:val="20"/>
        <w:lang w:val="en-US" w:eastAsia="en-US" w:bidi="ar-SA"/>
      </w:rPr>
    </w:lvl>
    <w:lvl w:ilvl="1" w:tplc="B9E4DD58">
      <w:numFmt w:val="bullet"/>
      <w:lvlText w:val="•"/>
      <w:lvlJc w:val="left"/>
      <w:pPr>
        <w:ind w:left="1794" w:hanging="852"/>
      </w:pPr>
      <w:rPr>
        <w:rFonts w:hint="default"/>
        <w:lang w:val="en-US" w:eastAsia="en-US" w:bidi="ar-SA"/>
      </w:rPr>
    </w:lvl>
    <w:lvl w:ilvl="2" w:tplc="1CDA5F62">
      <w:numFmt w:val="bullet"/>
      <w:lvlText w:val="•"/>
      <w:lvlJc w:val="left"/>
      <w:pPr>
        <w:ind w:left="2629" w:hanging="852"/>
      </w:pPr>
      <w:rPr>
        <w:rFonts w:hint="default"/>
        <w:lang w:val="en-US" w:eastAsia="en-US" w:bidi="ar-SA"/>
      </w:rPr>
    </w:lvl>
    <w:lvl w:ilvl="3" w:tplc="B1F8F4AE">
      <w:numFmt w:val="bullet"/>
      <w:lvlText w:val="•"/>
      <w:lvlJc w:val="left"/>
      <w:pPr>
        <w:ind w:left="3463" w:hanging="852"/>
      </w:pPr>
      <w:rPr>
        <w:rFonts w:hint="default"/>
        <w:lang w:val="en-US" w:eastAsia="en-US" w:bidi="ar-SA"/>
      </w:rPr>
    </w:lvl>
    <w:lvl w:ilvl="4" w:tplc="4CE07EC8">
      <w:numFmt w:val="bullet"/>
      <w:lvlText w:val="•"/>
      <w:lvlJc w:val="left"/>
      <w:pPr>
        <w:ind w:left="4298" w:hanging="852"/>
      </w:pPr>
      <w:rPr>
        <w:rFonts w:hint="default"/>
        <w:lang w:val="en-US" w:eastAsia="en-US" w:bidi="ar-SA"/>
      </w:rPr>
    </w:lvl>
    <w:lvl w:ilvl="5" w:tplc="4162D222">
      <w:numFmt w:val="bullet"/>
      <w:lvlText w:val="•"/>
      <w:lvlJc w:val="left"/>
      <w:pPr>
        <w:ind w:left="5133" w:hanging="852"/>
      </w:pPr>
      <w:rPr>
        <w:rFonts w:hint="default"/>
        <w:lang w:val="en-US" w:eastAsia="en-US" w:bidi="ar-SA"/>
      </w:rPr>
    </w:lvl>
    <w:lvl w:ilvl="6" w:tplc="0302AEA6">
      <w:numFmt w:val="bullet"/>
      <w:lvlText w:val="•"/>
      <w:lvlJc w:val="left"/>
      <w:pPr>
        <w:ind w:left="5967" w:hanging="852"/>
      </w:pPr>
      <w:rPr>
        <w:rFonts w:hint="default"/>
        <w:lang w:val="en-US" w:eastAsia="en-US" w:bidi="ar-SA"/>
      </w:rPr>
    </w:lvl>
    <w:lvl w:ilvl="7" w:tplc="A61CF4FA">
      <w:numFmt w:val="bullet"/>
      <w:lvlText w:val="•"/>
      <w:lvlJc w:val="left"/>
      <w:pPr>
        <w:ind w:left="6802" w:hanging="852"/>
      </w:pPr>
      <w:rPr>
        <w:rFonts w:hint="default"/>
        <w:lang w:val="en-US" w:eastAsia="en-US" w:bidi="ar-SA"/>
      </w:rPr>
    </w:lvl>
    <w:lvl w:ilvl="8" w:tplc="9D2ABEDA">
      <w:numFmt w:val="bullet"/>
      <w:lvlText w:val="•"/>
      <w:lvlJc w:val="left"/>
      <w:pPr>
        <w:ind w:left="7637" w:hanging="852"/>
      </w:pPr>
      <w:rPr>
        <w:rFonts w:hint="default"/>
        <w:lang w:val="en-US" w:eastAsia="en-US" w:bidi="ar-SA"/>
      </w:rPr>
    </w:lvl>
  </w:abstractNum>
  <w:abstractNum w:abstractNumId="4" w15:restartNumberingAfterBreak="0">
    <w:nsid w:val="3D813D86"/>
    <w:multiLevelType w:val="hybridMultilevel"/>
    <w:tmpl w:val="DC4E286E"/>
    <w:lvl w:ilvl="0" w:tplc="5C34BEAA">
      <w:start w:val="1"/>
      <w:numFmt w:val="decimal"/>
      <w:lvlText w:val="%1."/>
      <w:lvlJc w:val="left"/>
      <w:pPr>
        <w:ind w:left="968" w:hanging="852"/>
        <w:jc w:val="left"/>
      </w:pPr>
      <w:rPr>
        <w:rFonts w:ascii="Arial" w:eastAsia="Arial" w:hAnsi="Arial" w:cs="Arial" w:hint="default"/>
        <w:b/>
        <w:bCs/>
        <w:spacing w:val="-1"/>
        <w:w w:val="99"/>
        <w:sz w:val="20"/>
        <w:szCs w:val="20"/>
        <w:lang w:val="en-US" w:eastAsia="en-US" w:bidi="ar-SA"/>
      </w:rPr>
    </w:lvl>
    <w:lvl w:ilvl="1" w:tplc="FCE479B0">
      <w:numFmt w:val="bullet"/>
      <w:lvlText w:val="•"/>
      <w:lvlJc w:val="left"/>
      <w:pPr>
        <w:ind w:left="1794" w:hanging="852"/>
      </w:pPr>
      <w:rPr>
        <w:rFonts w:hint="default"/>
        <w:lang w:val="en-US" w:eastAsia="en-US" w:bidi="ar-SA"/>
      </w:rPr>
    </w:lvl>
    <w:lvl w:ilvl="2" w:tplc="E6DC2898">
      <w:numFmt w:val="bullet"/>
      <w:lvlText w:val="•"/>
      <w:lvlJc w:val="left"/>
      <w:pPr>
        <w:ind w:left="2629" w:hanging="852"/>
      </w:pPr>
      <w:rPr>
        <w:rFonts w:hint="default"/>
        <w:lang w:val="en-US" w:eastAsia="en-US" w:bidi="ar-SA"/>
      </w:rPr>
    </w:lvl>
    <w:lvl w:ilvl="3" w:tplc="AF526A16">
      <w:numFmt w:val="bullet"/>
      <w:lvlText w:val="•"/>
      <w:lvlJc w:val="left"/>
      <w:pPr>
        <w:ind w:left="3463" w:hanging="852"/>
      </w:pPr>
      <w:rPr>
        <w:rFonts w:hint="default"/>
        <w:lang w:val="en-US" w:eastAsia="en-US" w:bidi="ar-SA"/>
      </w:rPr>
    </w:lvl>
    <w:lvl w:ilvl="4" w:tplc="60308764">
      <w:numFmt w:val="bullet"/>
      <w:lvlText w:val="•"/>
      <w:lvlJc w:val="left"/>
      <w:pPr>
        <w:ind w:left="4298" w:hanging="852"/>
      </w:pPr>
      <w:rPr>
        <w:rFonts w:hint="default"/>
        <w:lang w:val="en-US" w:eastAsia="en-US" w:bidi="ar-SA"/>
      </w:rPr>
    </w:lvl>
    <w:lvl w:ilvl="5" w:tplc="A8569630">
      <w:numFmt w:val="bullet"/>
      <w:lvlText w:val="•"/>
      <w:lvlJc w:val="left"/>
      <w:pPr>
        <w:ind w:left="5133" w:hanging="852"/>
      </w:pPr>
      <w:rPr>
        <w:rFonts w:hint="default"/>
        <w:lang w:val="en-US" w:eastAsia="en-US" w:bidi="ar-SA"/>
      </w:rPr>
    </w:lvl>
    <w:lvl w:ilvl="6" w:tplc="55E22CCC">
      <w:numFmt w:val="bullet"/>
      <w:lvlText w:val="•"/>
      <w:lvlJc w:val="left"/>
      <w:pPr>
        <w:ind w:left="5967" w:hanging="852"/>
      </w:pPr>
      <w:rPr>
        <w:rFonts w:hint="default"/>
        <w:lang w:val="en-US" w:eastAsia="en-US" w:bidi="ar-SA"/>
      </w:rPr>
    </w:lvl>
    <w:lvl w:ilvl="7" w:tplc="DB30595E">
      <w:numFmt w:val="bullet"/>
      <w:lvlText w:val="•"/>
      <w:lvlJc w:val="left"/>
      <w:pPr>
        <w:ind w:left="6802" w:hanging="852"/>
      </w:pPr>
      <w:rPr>
        <w:rFonts w:hint="default"/>
        <w:lang w:val="en-US" w:eastAsia="en-US" w:bidi="ar-SA"/>
      </w:rPr>
    </w:lvl>
    <w:lvl w:ilvl="8" w:tplc="D9D0B356">
      <w:numFmt w:val="bullet"/>
      <w:lvlText w:val="•"/>
      <w:lvlJc w:val="left"/>
      <w:pPr>
        <w:ind w:left="7637" w:hanging="852"/>
      </w:pPr>
      <w:rPr>
        <w:rFonts w:hint="default"/>
        <w:lang w:val="en-US" w:eastAsia="en-US" w:bidi="ar-SA"/>
      </w:rPr>
    </w:lvl>
  </w:abstractNum>
  <w:abstractNum w:abstractNumId="5" w15:restartNumberingAfterBreak="0">
    <w:nsid w:val="4DA03614"/>
    <w:multiLevelType w:val="hybridMultilevel"/>
    <w:tmpl w:val="BA387C40"/>
    <w:lvl w:ilvl="0" w:tplc="1FC080FA">
      <w:start w:val="1"/>
      <w:numFmt w:val="upperRoman"/>
      <w:lvlText w:val="%1."/>
      <w:lvlJc w:val="left"/>
      <w:pPr>
        <w:ind w:left="116" w:hanging="852"/>
        <w:jc w:val="left"/>
      </w:pPr>
      <w:rPr>
        <w:rFonts w:ascii="Arial" w:eastAsia="Arial" w:hAnsi="Arial" w:cs="Arial" w:hint="default"/>
        <w:b/>
        <w:bCs/>
        <w:spacing w:val="-1"/>
        <w:w w:val="99"/>
        <w:sz w:val="20"/>
        <w:szCs w:val="20"/>
        <w:lang w:val="en-US" w:eastAsia="en-US" w:bidi="ar-SA"/>
      </w:rPr>
    </w:lvl>
    <w:lvl w:ilvl="1" w:tplc="878EF222">
      <w:start w:val="1"/>
      <w:numFmt w:val="lowerRoman"/>
      <w:lvlText w:val="%2."/>
      <w:lvlJc w:val="left"/>
      <w:pPr>
        <w:ind w:left="829" w:hanging="356"/>
        <w:jc w:val="left"/>
      </w:pPr>
      <w:rPr>
        <w:rFonts w:ascii="Arial" w:eastAsia="Arial" w:hAnsi="Arial" w:cs="Arial" w:hint="default"/>
        <w:spacing w:val="-2"/>
        <w:w w:val="99"/>
        <w:sz w:val="20"/>
        <w:szCs w:val="20"/>
        <w:lang w:val="en-US" w:eastAsia="en-US" w:bidi="ar-SA"/>
      </w:rPr>
    </w:lvl>
    <w:lvl w:ilvl="2" w:tplc="BC547976">
      <w:numFmt w:val="bullet"/>
      <w:lvlText w:val="•"/>
      <w:lvlJc w:val="left"/>
      <w:pPr>
        <w:ind w:left="1762" w:hanging="356"/>
      </w:pPr>
      <w:rPr>
        <w:rFonts w:hint="default"/>
        <w:lang w:val="en-US" w:eastAsia="en-US" w:bidi="ar-SA"/>
      </w:rPr>
    </w:lvl>
    <w:lvl w:ilvl="3" w:tplc="30F0AE0C">
      <w:numFmt w:val="bullet"/>
      <w:lvlText w:val="•"/>
      <w:lvlJc w:val="left"/>
      <w:pPr>
        <w:ind w:left="2705" w:hanging="356"/>
      </w:pPr>
      <w:rPr>
        <w:rFonts w:hint="default"/>
        <w:lang w:val="en-US" w:eastAsia="en-US" w:bidi="ar-SA"/>
      </w:rPr>
    </w:lvl>
    <w:lvl w:ilvl="4" w:tplc="8B62C3A2">
      <w:numFmt w:val="bullet"/>
      <w:lvlText w:val="•"/>
      <w:lvlJc w:val="left"/>
      <w:pPr>
        <w:ind w:left="3648" w:hanging="356"/>
      </w:pPr>
      <w:rPr>
        <w:rFonts w:hint="default"/>
        <w:lang w:val="en-US" w:eastAsia="en-US" w:bidi="ar-SA"/>
      </w:rPr>
    </w:lvl>
    <w:lvl w:ilvl="5" w:tplc="AB40658E">
      <w:numFmt w:val="bullet"/>
      <w:lvlText w:val="•"/>
      <w:lvlJc w:val="left"/>
      <w:pPr>
        <w:ind w:left="4591" w:hanging="356"/>
      </w:pPr>
      <w:rPr>
        <w:rFonts w:hint="default"/>
        <w:lang w:val="en-US" w:eastAsia="en-US" w:bidi="ar-SA"/>
      </w:rPr>
    </w:lvl>
    <w:lvl w:ilvl="6" w:tplc="676E430A">
      <w:numFmt w:val="bullet"/>
      <w:lvlText w:val="•"/>
      <w:lvlJc w:val="left"/>
      <w:pPr>
        <w:ind w:left="5534" w:hanging="356"/>
      </w:pPr>
      <w:rPr>
        <w:rFonts w:hint="default"/>
        <w:lang w:val="en-US" w:eastAsia="en-US" w:bidi="ar-SA"/>
      </w:rPr>
    </w:lvl>
    <w:lvl w:ilvl="7" w:tplc="44B4F9C6">
      <w:numFmt w:val="bullet"/>
      <w:lvlText w:val="•"/>
      <w:lvlJc w:val="left"/>
      <w:pPr>
        <w:ind w:left="6477" w:hanging="356"/>
      </w:pPr>
      <w:rPr>
        <w:rFonts w:hint="default"/>
        <w:lang w:val="en-US" w:eastAsia="en-US" w:bidi="ar-SA"/>
      </w:rPr>
    </w:lvl>
    <w:lvl w:ilvl="8" w:tplc="D9EA5F9C">
      <w:numFmt w:val="bullet"/>
      <w:lvlText w:val="•"/>
      <w:lvlJc w:val="left"/>
      <w:pPr>
        <w:ind w:left="7420" w:hanging="356"/>
      </w:pPr>
      <w:rPr>
        <w:rFonts w:hint="default"/>
        <w:lang w:val="en-US" w:eastAsia="en-US" w:bidi="ar-SA"/>
      </w:rPr>
    </w:lvl>
  </w:abstractNum>
  <w:abstractNum w:abstractNumId="6" w15:restartNumberingAfterBreak="0">
    <w:nsid w:val="6D5F25C6"/>
    <w:multiLevelType w:val="hybridMultilevel"/>
    <w:tmpl w:val="BDE484D0"/>
    <w:lvl w:ilvl="0" w:tplc="92AA27F6">
      <w:start w:val="1"/>
      <w:numFmt w:val="lowerLetter"/>
      <w:lvlText w:val="%1)"/>
      <w:lvlJc w:val="left"/>
      <w:pPr>
        <w:ind w:left="968" w:hanging="852"/>
        <w:jc w:val="left"/>
      </w:pPr>
      <w:rPr>
        <w:rFonts w:ascii="Arial" w:eastAsia="Arial" w:hAnsi="Arial" w:cs="Arial" w:hint="default"/>
        <w:spacing w:val="-1"/>
        <w:w w:val="99"/>
        <w:sz w:val="20"/>
        <w:szCs w:val="20"/>
        <w:lang w:val="en-US" w:eastAsia="en-US" w:bidi="ar-SA"/>
      </w:rPr>
    </w:lvl>
    <w:lvl w:ilvl="1" w:tplc="90220D98">
      <w:numFmt w:val="bullet"/>
      <w:lvlText w:val="•"/>
      <w:lvlJc w:val="left"/>
      <w:pPr>
        <w:ind w:left="1794" w:hanging="852"/>
      </w:pPr>
      <w:rPr>
        <w:rFonts w:hint="default"/>
        <w:lang w:val="en-US" w:eastAsia="en-US" w:bidi="ar-SA"/>
      </w:rPr>
    </w:lvl>
    <w:lvl w:ilvl="2" w:tplc="DF4047DA">
      <w:numFmt w:val="bullet"/>
      <w:lvlText w:val="•"/>
      <w:lvlJc w:val="left"/>
      <w:pPr>
        <w:ind w:left="2629" w:hanging="852"/>
      </w:pPr>
      <w:rPr>
        <w:rFonts w:hint="default"/>
        <w:lang w:val="en-US" w:eastAsia="en-US" w:bidi="ar-SA"/>
      </w:rPr>
    </w:lvl>
    <w:lvl w:ilvl="3" w:tplc="CDACF52C">
      <w:numFmt w:val="bullet"/>
      <w:lvlText w:val="•"/>
      <w:lvlJc w:val="left"/>
      <w:pPr>
        <w:ind w:left="3463" w:hanging="852"/>
      </w:pPr>
      <w:rPr>
        <w:rFonts w:hint="default"/>
        <w:lang w:val="en-US" w:eastAsia="en-US" w:bidi="ar-SA"/>
      </w:rPr>
    </w:lvl>
    <w:lvl w:ilvl="4" w:tplc="5876FD08">
      <w:numFmt w:val="bullet"/>
      <w:lvlText w:val="•"/>
      <w:lvlJc w:val="left"/>
      <w:pPr>
        <w:ind w:left="4298" w:hanging="852"/>
      </w:pPr>
      <w:rPr>
        <w:rFonts w:hint="default"/>
        <w:lang w:val="en-US" w:eastAsia="en-US" w:bidi="ar-SA"/>
      </w:rPr>
    </w:lvl>
    <w:lvl w:ilvl="5" w:tplc="B1266D82">
      <w:numFmt w:val="bullet"/>
      <w:lvlText w:val="•"/>
      <w:lvlJc w:val="left"/>
      <w:pPr>
        <w:ind w:left="5133" w:hanging="852"/>
      </w:pPr>
      <w:rPr>
        <w:rFonts w:hint="default"/>
        <w:lang w:val="en-US" w:eastAsia="en-US" w:bidi="ar-SA"/>
      </w:rPr>
    </w:lvl>
    <w:lvl w:ilvl="6" w:tplc="7406A6FC">
      <w:numFmt w:val="bullet"/>
      <w:lvlText w:val="•"/>
      <w:lvlJc w:val="left"/>
      <w:pPr>
        <w:ind w:left="5967" w:hanging="852"/>
      </w:pPr>
      <w:rPr>
        <w:rFonts w:hint="default"/>
        <w:lang w:val="en-US" w:eastAsia="en-US" w:bidi="ar-SA"/>
      </w:rPr>
    </w:lvl>
    <w:lvl w:ilvl="7" w:tplc="844A6C44">
      <w:numFmt w:val="bullet"/>
      <w:lvlText w:val="•"/>
      <w:lvlJc w:val="left"/>
      <w:pPr>
        <w:ind w:left="6802" w:hanging="852"/>
      </w:pPr>
      <w:rPr>
        <w:rFonts w:hint="default"/>
        <w:lang w:val="en-US" w:eastAsia="en-US" w:bidi="ar-SA"/>
      </w:rPr>
    </w:lvl>
    <w:lvl w:ilvl="8" w:tplc="097E7306">
      <w:numFmt w:val="bullet"/>
      <w:lvlText w:val="•"/>
      <w:lvlJc w:val="left"/>
      <w:pPr>
        <w:ind w:left="7637" w:hanging="852"/>
      </w:pPr>
      <w:rPr>
        <w:rFonts w:hint="default"/>
        <w:lang w:val="en-US" w:eastAsia="en-US" w:bidi="ar-SA"/>
      </w:rPr>
    </w:lvl>
  </w:abstractNum>
  <w:num w:numId="1">
    <w:abstractNumId w:val="2"/>
  </w:num>
  <w:num w:numId="2">
    <w:abstractNumId w:val="6"/>
  </w:num>
  <w:num w:numId="3">
    <w:abstractNumId w:val="1"/>
  </w:num>
  <w:num w:numId="4">
    <w:abstractNumId w:val="3"/>
  </w:num>
  <w:num w:numId="5">
    <w:abstractNumId w:val="0"/>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evenAndOddHeaders/>
  <w:drawingGridHorizontalSpacing w:val="110"/>
  <w:displayHorizontalDrawingGridEvery w:val="2"/>
  <w:characterSpacingControl w:val="doNotCompress"/>
  <w:hdrShapeDefaults>
    <o:shapedefaults v:ext="edit" spidmax="2061"/>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400F24"/>
    <w:rsid w:val="001F189C"/>
    <w:rsid w:val="003215D8"/>
    <w:rsid w:val="00400F24"/>
    <w:rsid w:val="005B7225"/>
    <w:rsid w:val="00727120"/>
    <w:rsid w:val="00950537"/>
    <w:rsid w:val="0097668C"/>
    <w:rsid w:val="00AE603F"/>
    <w:rsid w:val="00B32090"/>
    <w:rsid w:val="00C77046"/>
    <w:rsid w:val="00CD54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43CCDEF6"/>
  <w15:docId w15:val="{0929FD6A-72E5-4F83-913D-B90FA900A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ind w:left="968" w:hanging="853"/>
      <w:jc w:val="both"/>
      <w:outlineLvl w:val="1"/>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0"/>
    <w:qFormat/>
    <w:pPr>
      <w:ind w:left="823" w:right="2652" w:hanging="1242"/>
    </w:pPr>
    <w:rPr>
      <w:sz w:val="40"/>
      <w:szCs w:val="40"/>
    </w:rPr>
  </w:style>
  <w:style w:type="paragraph" w:styleId="ListParagraph">
    <w:name w:val="List Paragraph"/>
    <w:basedOn w:val="Normal"/>
    <w:uiPriority w:val="1"/>
    <w:qFormat/>
    <w:pPr>
      <w:ind w:left="968" w:hanging="852"/>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727120"/>
    <w:pPr>
      <w:tabs>
        <w:tab w:val="center" w:pos="4703"/>
        <w:tab w:val="right" w:pos="9406"/>
      </w:tabs>
    </w:pPr>
  </w:style>
  <w:style w:type="character" w:customStyle="1" w:styleId="HeaderChar">
    <w:name w:val="Header Char"/>
    <w:basedOn w:val="DefaultParagraphFont"/>
    <w:link w:val="Header"/>
    <w:uiPriority w:val="99"/>
    <w:rsid w:val="00727120"/>
    <w:rPr>
      <w:rFonts w:ascii="Arial" w:eastAsia="Arial" w:hAnsi="Arial" w:cs="Arial"/>
    </w:rPr>
  </w:style>
  <w:style w:type="paragraph" w:styleId="Footer">
    <w:name w:val="footer"/>
    <w:basedOn w:val="Normal"/>
    <w:link w:val="FooterChar"/>
    <w:uiPriority w:val="99"/>
    <w:unhideWhenUsed/>
    <w:rsid w:val="00727120"/>
    <w:pPr>
      <w:tabs>
        <w:tab w:val="center" w:pos="4703"/>
        <w:tab w:val="right" w:pos="9406"/>
      </w:tabs>
    </w:pPr>
  </w:style>
  <w:style w:type="character" w:customStyle="1" w:styleId="FooterChar">
    <w:name w:val="Footer Char"/>
    <w:basedOn w:val="DefaultParagraphFont"/>
    <w:link w:val="Footer"/>
    <w:uiPriority w:val="99"/>
    <w:rsid w:val="00727120"/>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egalinstruments.oecd.org/"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egalinstruments.oecd.or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c2649c6-0f6a-432e-8083-5d1192364e9a">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710F2C-51D2-4619-84AF-79F21A6DCF5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675793A-4406-48E6-AB49-AB9CE706F23C}">
  <ds:schemaRefs>
    <ds:schemaRef ds:uri="http://schemas.microsoft.com/sharepoint/v3/contenttype/forms"/>
  </ds:schemaRefs>
</ds:datastoreItem>
</file>

<file path=customXml/itemProps3.xml><?xml version="1.0" encoding="utf-8"?>
<ds:datastoreItem xmlns:ds="http://schemas.openxmlformats.org/officeDocument/2006/customXml" ds:itemID="{9B100D2C-DEA3-4A60-B0A5-5FFE95DB0925}"/>
</file>

<file path=docProps/app.xml><?xml version="1.0" encoding="utf-8"?>
<Properties xmlns="http://schemas.openxmlformats.org/officeDocument/2006/extended-properties" xmlns:vt="http://schemas.openxmlformats.org/officeDocument/2006/docPropsVTypes">
  <Template>Normal.dotm</Template>
  <TotalTime>11</TotalTime>
  <Pages>8</Pages>
  <Words>2544</Words>
  <Characters>14504</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Ivelina  Stoyanova</cp:lastModifiedBy>
  <cp:revision>9</cp:revision>
  <dcterms:created xsi:type="dcterms:W3CDTF">2022-01-19T08:54:00Z</dcterms:created>
  <dcterms:modified xsi:type="dcterms:W3CDTF">2022-01-31T09:02:00Z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ies>
</file>